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Theme="minorEastAsia" w:hAnsiTheme="minorEastAsia" w:eastAsiaTheme="minorEastAsia"/>
          <w:b/>
          <w:color w:val="595757"/>
          <w:sz w:val="44"/>
          <w:szCs w:val="44"/>
          <w:shd w:val="clear" w:color="auto" w:fill="FFFFFF"/>
        </w:rPr>
      </w:pPr>
      <w:r>
        <w:rPr>
          <w:rFonts w:hint="eastAsia" w:asciiTheme="minorEastAsia" w:hAnsiTheme="minorEastAsia" w:eastAsiaTheme="minorEastAsia"/>
          <w:b/>
          <w:color w:val="595757"/>
          <w:sz w:val="44"/>
          <w:szCs w:val="44"/>
          <w:shd w:val="clear" w:color="auto" w:fill="FFFFFF"/>
        </w:rPr>
        <w:t>濮阳县司法局“双随机一公开”抽查细则</w:t>
      </w:r>
    </w:p>
    <w:p>
      <w:pPr>
        <w:spacing w:line="220" w:lineRule="atLeast"/>
        <w:ind w:firstLine="640" w:firstLineChars="200"/>
        <w:rPr>
          <w:rFonts w:hint="eastAsia" w:asciiTheme="minorEastAsia" w:hAnsiTheme="minorEastAsia" w:eastAsiaTheme="minorEastAsia"/>
          <w:color w:val="595757"/>
          <w:sz w:val="32"/>
          <w:szCs w:val="32"/>
          <w:shd w:val="clear" w:color="auto" w:fill="FFFFFF"/>
        </w:rPr>
      </w:pPr>
      <w:r>
        <w:rPr>
          <w:rFonts w:hint="eastAsia" w:asciiTheme="minorEastAsia" w:hAnsiTheme="minorEastAsia" w:eastAsiaTheme="minorEastAsia"/>
          <w:color w:val="595757"/>
          <w:sz w:val="32"/>
          <w:szCs w:val="32"/>
          <w:shd w:val="clear" w:color="auto" w:fill="FFFFFF"/>
        </w:rPr>
        <w:t>为推进我县司法行政部门随机抽查工作，规范执法行为，营造公平竞争的发展环境，</w:t>
      </w:r>
      <w:r>
        <w:rPr>
          <w:rFonts w:hint="eastAsia" w:asciiTheme="minorEastAsia" w:hAnsiTheme="minorEastAsia" w:eastAsiaTheme="minorEastAsia"/>
          <w:color w:val="595757"/>
          <w:sz w:val="32"/>
          <w:szCs w:val="32"/>
        </w:rPr>
        <w:t>建立健全律师事务所、公证处、基层法律服务所、社区矫正名录库和执法检查人员名录库。根据我局随机抽查事项清单，建立随机抽取检查对象、随机选派执法检查人员的“两随机”抽查机制，</w:t>
      </w:r>
      <w:r>
        <w:rPr>
          <w:rFonts w:hint="eastAsia" w:asciiTheme="minorEastAsia" w:hAnsiTheme="minorEastAsia" w:eastAsiaTheme="minorEastAsia"/>
          <w:color w:val="595757"/>
          <w:sz w:val="32"/>
          <w:szCs w:val="32"/>
          <w:shd w:val="clear" w:color="auto" w:fill="FFFFFF"/>
        </w:rPr>
        <w:t>制定本细则。</w:t>
      </w:r>
    </w:p>
    <w:p>
      <w:pPr>
        <w:pStyle w:val="3"/>
        <w:shd w:val="clear" w:color="auto" w:fill="FFFFFF"/>
        <w:spacing w:before="0" w:beforeAutospacing="0" w:after="0" w:afterAutospacing="0" w:line="450" w:lineRule="atLeast"/>
        <w:ind w:firstLine="640" w:firstLineChars="200"/>
        <w:rPr>
          <w:rFonts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第一条开展“双随机一公开”应当遵循依法监管、公正高效，随机抽取、随机选派，结果公示、公开透明的原则。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第二条　开展法律服务监管“双随机一公开”主要范围包括律师、公证等，并根据法律、法规、规章修订情况和工作开展情况，依法调整抽查范围。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第三条　县司法局负责组织、协调、实施、指导和监督全县法律服务监管“双随机一公开”工作，根据需要组织全县统一的抽查活动。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xml:space="preserve">　　第四条　建立健全执法检查人员名录库。 </w:t>
      </w:r>
    </w:p>
    <w:p>
      <w:pPr>
        <w:pStyle w:val="3"/>
        <w:shd w:val="clear" w:color="auto" w:fill="FFFFFF"/>
        <w:spacing w:before="0" w:beforeAutospacing="0" w:after="0" w:afterAutospacing="0" w:line="450" w:lineRule="atLeast"/>
        <w:ind w:firstLine="640"/>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执法检查人员的组成以本</w:t>
      </w:r>
      <w:r>
        <w:rPr>
          <w:rFonts w:hint="eastAsia" w:asciiTheme="minorEastAsia" w:hAnsiTheme="minorEastAsia" w:eastAsiaTheme="minorEastAsia"/>
          <w:color w:val="484848"/>
          <w:sz w:val="32"/>
          <w:szCs w:val="32"/>
          <w:lang w:val="en-US" w:eastAsia="zh-CN"/>
        </w:rPr>
        <w:t>局</w:t>
      </w:r>
      <w:r>
        <w:rPr>
          <w:rFonts w:hint="eastAsia" w:asciiTheme="minorEastAsia" w:hAnsiTheme="minorEastAsia" w:eastAsiaTheme="minorEastAsia"/>
          <w:color w:val="484848"/>
          <w:sz w:val="32"/>
          <w:szCs w:val="32"/>
        </w:rPr>
        <w:t>相应的法律服务业务</w:t>
      </w:r>
      <w:r>
        <w:rPr>
          <w:rFonts w:hint="eastAsia" w:asciiTheme="minorEastAsia" w:hAnsiTheme="minorEastAsia" w:eastAsiaTheme="minorEastAsia"/>
          <w:color w:val="484848"/>
          <w:sz w:val="32"/>
          <w:szCs w:val="32"/>
          <w:lang w:val="en-US" w:eastAsia="zh-CN"/>
        </w:rPr>
        <w:t>局机关</w:t>
      </w:r>
      <w:r>
        <w:rPr>
          <w:rFonts w:hint="eastAsia" w:asciiTheme="minorEastAsia" w:hAnsiTheme="minorEastAsia" w:eastAsiaTheme="minorEastAsia"/>
          <w:color w:val="484848"/>
          <w:sz w:val="32"/>
          <w:szCs w:val="32"/>
        </w:rPr>
        <w:t xml:space="preserve">执法人员为主，可以吸收其它相关部门执法人员参加，并实施动态管理。 </w:t>
      </w:r>
    </w:p>
    <w:p>
      <w:pPr>
        <w:pStyle w:val="3"/>
        <w:shd w:val="clear" w:color="auto" w:fill="FFFFFF"/>
        <w:spacing w:before="0" w:beforeAutospacing="0" w:after="0" w:afterAutospacing="0" w:line="450" w:lineRule="atLeast"/>
        <w:ind w:firstLine="640"/>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执法检查人员必须持有行政执法证。</w:t>
      </w:r>
    </w:p>
    <w:p>
      <w:pPr>
        <w:pStyle w:val="3"/>
        <w:shd w:val="clear" w:color="auto" w:fill="FFFFFF"/>
        <w:spacing w:before="0" w:beforeAutospacing="0" w:after="0" w:afterAutospacing="0" w:line="450" w:lineRule="atLeast"/>
        <w:ind w:firstLine="640"/>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xml:space="preserve">第十条　制定随机抽查事项清单，逐项明确抽查依据、抽查主体、抽查内容、抽查方式等。 </w:t>
      </w:r>
    </w:p>
    <w:p>
      <w:pPr>
        <w:pStyle w:val="3"/>
        <w:shd w:val="clear" w:color="auto" w:fill="FFFFFF"/>
        <w:spacing w:before="0" w:beforeAutospacing="0" w:after="0" w:afterAutospacing="0" w:line="450" w:lineRule="atLeast"/>
        <w:ind w:firstLine="640"/>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lang w:val="en-US" w:eastAsia="zh-CN"/>
        </w:rPr>
        <w:t xml:space="preserve"> </w:t>
      </w:r>
      <w:r>
        <w:rPr>
          <w:rFonts w:hint="eastAsia" w:asciiTheme="minorEastAsia" w:hAnsiTheme="minorEastAsia" w:eastAsiaTheme="minorEastAsia"/>
          <w:color w:val="484848"/>
          <w:sz w:val="32"/>
          <w:szCs w:val="32"/>
        </w:rPr>
        <w:t>随机抽查事项清单根据法律、法规、规章修订情况和工作实际进行动态调整，及时向社会公布。</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第五条　开展随机抽查可以按照下列方式进行：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（一）实地检查。通过直接到法律服务机构的住所（执业场所）实施现场检查的方式。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（二）书面检查。通过核查法律服务机构提交的书式材料进行检查的方式。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抽查原则上以实地检查为主，可以采取多种抽查方式相结合的方式实施抽查；可以根据需要委托专业机构，开展审计、验资、咨询等相关工作，依法利用其他政府部门作出的检查、核查结果或者专业机构作出的专业结论。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第六条　按照下列随机抽查比例和频次开展“双随机一公开”工作：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（一）公证处。一般每年开展两次次随机抽查，每次抽查比例1</w:t>
      </w:r>
      <w:r>
        <w:rPr>
          <w:rFonts w:hint="eastAsia" w:asciiTheme="minorEastAsia" w:hAnsiTheme="minorEastAsia" w:eastAsiaTheme="minorEastAsia"/>
          <w:color w:val="484848"/>
          <w:sz w:val="32"/>
          <w:szCs w:val="32"/>
          <w:lang w:val="en-US" w:eastAsia="zh-CN"/>
        </w:rPr>
        <w:t>0</w:t>
      </w:r>
      <w:r>
        <w:rPr>
          <w:rFonts w:hint="eastAsia" w:asciiTheme="minorEastAsia" w:hAnsiTheme="minorEastAsia" w:eastAsiaTheme="minorEastAsia"/>
          <w:color w:val="484848"/>
          <w:sz w:val="32"/>
          <w:szCs w:val="32"/>
        </w:rPr>
        <w:t>0%左右。 </w:t>
      </w:r>
    </w:p>
    <w:p>
      <w:pPr>
        <w:pStyle w:val="3"/>
        <w:shd w:val="clear" w:color="auto" w:fill="FFFFFF"/>
        <w:spacing w:before="0" w:beforeAutospacing="0" w:after="0" w:afterAutospacing="0" w:line="450" w:lineRule="atLeast"/>
        <w:ind w:firstLine="630"/>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（二）律师事务所。一般每年开展两次随机抽查，每次抽查比例</w:t>
      </w:r>
      <w:r>
        <w:rPr>
          <w:rFonts w:hint="eastAsia" w:asciiTheme="minorEastAsia" w:hAnsiTheme="minorEastAsia" w:eastAsiaTheme="minorEastAsia"/>
          <w:color w:val="484848"/>
          <w:sz w:val="32"/>
          <w:szCs w:val="32"/>
          <w:lang w:val="en-US" w:eastAsia="zh-CN"/>
        </w:rPr>
        <w:t>3</w:t>
      </w:r>
      <w:r>
        <w:rPr>
          <w:rFonts w:hint="eastAsia" w:asciiTheme="minorEastAsia" w:hAnsiTheme="minorEastAsia" w:eastAsiaTheme="minorEastAsia"/>
          <w:color w:val="484848"/>
          <w:sz w:val="32"/>
          <w:szCs w:val="32"/>
        </w:rPr>
        <w:t>0%左右，每次不少于1家。</w:t>
      </w:r>
    </w:p>
    <w:p>
      <w:pPr>
        <w:pStyle w:val="3"/>
        <w:shd w:val="clear" w:color="auto" w:fill="FFFFFF"/>
        <w:spacing w:before="0" w:beforeAutospacing="0" w:after="0" w:afterAutospacing="0" w:line="450" w:lineRule="atLeast"/>
        <w:ind w:firstLine="630"/>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（三）社区矫正。一般每年开展两次随机抽查，每次抽查比例</w:t>
      </w:r>
      <w:r>
        <w:rPr>
          <w:rFonts w:hint="eastAsia" w:asciiTheme="minorEastAsia" w:hAnsiTheme="minorEastAsia" w:eastAsiaTheme="minorEastAsia"/>
          <w:color w:val="484848"/>
          <w:sz w:val="32"/>
          <w:szCs w:val="32"/>
          <w:lang w:val="en-US" w:eastAsia="zh-CN"/>
        </w:rPr>
        <w:t>3</w:t>
      </w:r>
      <w:r>
        <w:rPr>
          <w:rFonts w:hint="eastAsia" w:asciiTheme="minorEastAsia" w:hAnsiTheme="minorEastAsia" w:eastAsiaTheme="minorEastAsia"/>
          <w:color w:val="484848"/>
          <w:sz w:val="32"/>
          <w:szCs w:val="32"/>
        </w:rPr>
        <w:t>0%左右。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3年内已被随机抽查的法律服务机构，不列入随机抽查范围，但对投诉举报多、列入执业异常对象名单、列入信用黑名单或有严重违法违规记录等情况的相关法律服务机构除外。 </w:t>
      </w:r>
    </w:p>
    <w:p>
      <w:pPr>
        <w:pStyle w:val="3"/>
        <w:shd w:val="clear" w:color="auto" w:fill="FFFFFF"/>
        <w:spacing w:before="0" w:beforeAutospacing="0" w:after="0" w:afterAutospacing="0" w:line="450" w:lineRule="atLeast"/>
        <w:ind w:firstLine="640"/>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第七条　根据上级部署、监管工作实际制定抽查计划。抽查计划应当明确抽查范围、抽查比例、抽查方式、抽查事项和实施时间等。</w:t>
      </w:r>
    </w:p>
    <w:p>
      <w:pPr>
        <w:pStyle w:val="3"/>
        <w:shd w:val="clear" w:color="auto" w:fill="FFFFFF"/>
        <w:spacing w:before="0" w:beforeAutospacing="0" w:after="0" w:afterAutospacing="0" w:line="450" w:lineRule="atLeast"/>
        <w:ind w:firstLine="640"/>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lang w:val="en-US" w:eastAsia="zh-CN"/>
        </w:rPr>
        <w:t xml:space="preserve">第八条  </w:t>
      </w:r>
      <w:r>
        <w:rPr>
          <w:rFonts w:hint="eastAsia" w:asciiTheme="minorEastAsia" w:hAnsiTheme="minorEastAsia" w:eastAsiaTheme="minorEastAsia"/>
          <w:color w:val="484848"/>
          <w:sz w:val="32"/>
          <w:szCs w:val="32"/>
        </w:rPr>
        <w:t xml:space="preserve">开展随机抽查前，通过摇号、抽签等方式，从相应的法律服务机构检查对象名录库中随机抽取检查对象，从相应的执法检查人员名录库中随机选派执法检查人员，并建立“递补抽取”机制，对抽取的法律服务机构实施检查。 </w:t>
      </w:r>
    </w:p>
    <w:p>
      <w:pPr>
        <w:pStyle w:val="3"/>
        <w:shd w:val="clear" w:color="auto" w:fill="FFFFFF"/>
        <w:spacing w:before="0" w:beforeAutospacing="0" w:after="0" w:afterAutospacing="0" w:line="450" w:lineRule="atLeast"/>
        <w:ind w:firstLine="640"/>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在一定周期内对同一抽查对象不得由同一执法检查人员实施检查。对同一抽查对象实施检查，选派执法检查人员不得少于2人。执法检查人员与抽查对象有利害关系的，应当依法回避。</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第</w:t>
      </w:r>
      <w:r>
        <w:rPr>
          <w:rFonts w:hint="eastAsia" w:asciiTheme="minorEastAsia" w:hAnsiTheme="minorEastAsia" w:eastAsiaTheme="minorEastAsia"/>
          <w:color w:val="484848"/>
          <w:sz w:val="32"/>
          <w:szCs w:val="32"/>
          <w:lang w:val="en-US" w:eastAsia="zh-CN"/>
        </w:rPr>
        <w:t>九</w:t>
      </w:r>
      <w:r>
        <w:rPr>
          <w:rFonts w:hint="eastAsia" w:asciiTheme="minorEastAsia" w:hAnsiTheme="minorEastAsia" w:eastAsiaTheme="minorEastAsia"/>
          <w:color w:val="484848"/>
          <w:sz w:val="32"/>
          <w:szCs w:val="32"/>
        </w:rPr>
        <w:t>条　在随机抽查中发现下列违法违规情形的，应当依法处理：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（一）发现存在涉嫌违法违规行为，属于当场可纠正的，依法责令立即纠正；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w:t>
      </w:r>
      <w:r>
        <w:rPr>
          <w:rFonts w:hint="eastAsia" w:asciiTheme="minorEastAsia" w:hAnsiTheme="minorEastAsia" w:eastAsiaTheme="minorEastAsia"/>
          <w:color w:val="484848"/>
          <w:sz w:val="32"/>
          <w:szCs w:val="32"/>
          <w:lang w:val="en-US" w:eastAsia="zh-CN"/>
        </w:rPr>
        <w:t>二</w:t>
      </w:r>
      <w:r>
        <w:rPr>
          <w:rFonts w:hint="eastAsia" w:asciiTheme="minorEastAsia" w:hAnsiTheme="minorEastAsia" w:eastAsiaTheme="minorEastAsia"/>
          <w:color w:val="484848"/>
          <w:sz w:val="32"/>
          <w:szCs w:val="32"/>
        </w:rPr>
        <w:t>）发现属于应当立案查处的，依照法律、法规、规章规定的程序处理；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w:t>
      </w:r>
      <w:r>
        <w:rPr>
          <w:rFonts w:hint="eastAsia" w:asciiTheme="minorEastAsia" w:hAnsiTheme="minorEastAsia" w:eastAsiaTheme="minorEastAsia"/>
          <w:color w:val="484848"/>
          <w:sz w:val="32"/>
          <w:szCs w:val="32"/>
          <w:lang w:val="en-US" w:eastAsia="zh-CN"/>
        </w:rPr>
        <w:t>三</w:t>
      </w:r>
      <w:r>
        <w:rPr>
          <w:rFonts w:hint="eastAsia" w:asciiTheme="minorEastAsia" w:hAnsiTheme="minorEastAsia" w:eastAsiaTheme="minorEastAsia"/>
          <w:color w:val="484848"/>
          <w:sz w:val="32"/>
          <w:szCs w:val="32"/>
        </w:rPr>
        <w:t>）发现涉嫌犯罪的，依照有关规定移送司法机关；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w:t>
      </w:r>
      <w:r>
        <w:rPr>
          <w:rFonts w:hint="eastAsia" w:asciiTheme="minorEastAsia" w:hAnsiTheme="minorEastAsia" w:eastAsiaTheme="minorEastAsia"/>
          <w:color w:val="484848"/>
          <w:sz w:val="32"/>
          <w:szCs w:val="32"/>
          <w:lang w:val="en-US" w:eastAsia="zh-CN"/>
        </w:rPr>
        <w:t>四</w:t>
      </w:r>
      <w:r>
        <w:rPr>
          <w:rFonts w:hint="eastAsia" w:asciiTheme="minorEastAsia" w:hAnsiTheme="minorEastAsia" w:eastAsiaTheme="minorEastAsia"/>
          <w:color w:val="484848"/>
          <w:sz w:val="32"/>
          <w:szCs w:val="32"/>
        </w:rPr>
        <w:t>）通过登记的住所或者执业场所无法联系的，列入执业异常对象名单； </w:t>
      </w:r>
    </w:p>
    <w:p>
      <w:pPr>
        <w:pStyle w:val="3"/>
        <w:shd w:val="clear" w:color="auto" w:fill="FFFFFF"/>
        <w:spacing w:before="0" w:beforeAutospacing="0" w:after="0" w:afterAutospacing="0" w:line="450" w:lineRule="atLeast"/>
        <w:ind w:firstLine="640"/>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w:t>
      </w:r>
      <w:r>
        <w:rPr>
          <w:rFonts w:hint="eastAsia" w:asciiTheme="minorEastAsia" w:hAnsiTheme="minorEastAsia" w:eastAsiaTheme="minorEastAsia"/>
          <w:color w:val="484848"/>
          <w:sz w:val="32"/>
          <w:szCs w:val="32"/>
          <w:lang w:val="en-US" w:eastAsia="zh-CN"/>
        </w:rPr>
        <w:t>五</w:t>
      </w:r>
      <w:r>
        <w:rPr>
          <w:rFonts w:hint="eastAsia" w:asciiTheme="minorEastAsia" w:hAnsiTheme="minorEastAsia" w:eastAsiaTheme="minorEastAsia"/>
          <w:color w:val="484848"/>
          <w:sz w:val="32"/>
          <w:szCs w:val="32"/>
        </w:rPr>
        <w:t>）法律服务机构不予配合情节严重的，通过信用信息公示平台公示。</w:t>
      </w:r>
    </w:p>
    <w:p>
      <w:pPr>
        <w:pStyle w:val="3"/>
        <w:shd w:val="clear" w:color="auto" w:fill="FFFFFF"/>
        <w:spacing w:before="0" w:beforeAutospacing="0" w:after="0" w:afterAutospacing="0" w:line="450" w:lineRule="atLeast"/>
        <w:ind w:firstLine="640"/>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lang w:val="en-US" w:eastAsia="zh-CN"/>
        </w:rPr>
        <w:t xml:space="preserve">第十条  </w:t>
      </w:r>
      <w:r>
        <w:rPr>
          <w:rFonts w:hint="eastAsia" w:asciiTheme="minorEastAsia" w:hAnsiTheme="minorEastAsia" w:eastAsiaTheme="minorEastAsia"/>
          <w:color w:val="484848"/>
          <w:sz w:val="32"/>
          <w:szCs w:val="32"/>
        </w:rPr>
        <w:t xml:space="preserve">建立健全整改回访和黑名单制度，对随机抽查中发现的问题进行跟踪回访、督促整改，根据下列情形进行处理。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lang w:val="en-US" w:eastAsia="zh-CN"/>
        </w:rPr>
        <w:t xml:space="preserve">   </w:t>
      </w:r>
      <w:r>
        <w:rPr>
          <w:rFonts w:hint="eastAsia" w:asciiTheme="minorEastAsia" w:hAnsiTheme="minorEastAsia" w:eastAsiaTheme="minorEastAsia"/>
          <w:color w:val="484848"/>
          <w:sz w:val="32"/>
          <w:szCs w:val="32"/>
        </w:rPr>
        <w:t xml:space="preserve">（一）行为尚未违反法律法规但可能产生风险的，通过书面提醒、约谈负责人等方式提请行为人纠正；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lang w:val="en-US" w:eastAsia="zh-CN"/>
        </w:rPr>
        <w:t xml:space="preserve">   </w:t>
      </w:r>
      <w:r>
        <w:rPr>
          <w:rFonts w:hint="eastAsia" w:asciiTheme="minorEastAsia" w:hAnsiTheme="minorEastAsia" w:eastAsiaTheme="minorEastAsia"/>
          <w:color w:val="484848"/>
          <w:sz w:val="32"/>
          <w:szCs w:val="32"/>
        </w:rPr>
        <w:t xml:space="preserve">（二）经过提醒或约谈仍不纠正的，可以作为异常情况，列入执业异常对象名单；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lang w:val="en-US" w:eastAsia="zh-CN"/>
        </w:rPr>
        <w:t xml:space="preserve">   </w:t>
      </w:r>
      <w:r>
        <w:rPr>
          <w:rFonts w:hint="eastAsia" w:asciiTheme="minorEastAsia" w:hAnsiTheme="minorEastAsia" w:eastAsiaTheme="minorEastAsia"/>
          <w:color w:val="484848"/>
          <w:sz w:val="32"/>
          <w:szCs w:val="32"/>
        </w:rPr>
        <w:t>（三）依法应予行政处罚的，作出处罚决定后，列入信用黑名单。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第</w:t>
      </w:r>
      <w:r>
        <w:rPr>
          <w:rFonts w:hint="eastAsia" w:asciiTheme="minorEastAsia" w:hAnsiTheme="minorEastAsia" w:eastAsiaTheme="minorEastAsia"/>
          <w:color w:val="484848"/>
          <w:sz w:val="32"/>
          <w:szCs w:val="32"/>
          <w:lang w:val="en-US" w:eastAsia="zh-CN"/>
        </w:rPr>
        <w:t>十一</w:t>
      </w:r>
      <w:r>
        <w:rPr>
          <w:rFonts w:hint="eastAsia" w:asciiTheme="minorEastAsia" w:hAnsiTheme="minorEastAsia" w:eastAsiaTheme="minorEastAsia"/>
          <w:color w:val="484848"/>
          <w:sz w:val="32"/>
          <w:szCs w:val="32"/>
        </w:rPr>
        <w:t>条　加强社会信用体系建设，建立健全法律服务机构、法律服务人员的诚信档案，建立随机抽查通报与诚信档案、信用信息管理相衔接机制，及时根据随机抽查结果更新诚信档案及信用信息。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第十</w:t>
      </w:r>
      <w:r>
        <w:rPr>
          <w:rFonts w:hint="eastAsia" w:asciiTheme="minorEastAsia" w:hAnsiTheme="minorEastAsia" w:eastAsiaTheme="minorEastAsia"/>
          <w:color w:val="484848"/>
          <w:sz w:val="32"/>
          <w:szCs w:val="32"/>
          <w:lang w:val="en-US" w:eastAsia="zh-CN"/>
        </w:rPr>
        <w:t>二</w:t>
      </w:r>
      <w:r>
        <w:rPr>
          <w:rFonts w:hint="eastAsia" w:asciiTheme="minorEastAsia" w:hAnsiTheme="minorEastAsia" w:eastAsiaTheme="minorEastAsia"/>
          <w:color w:val="484848"/>
          <w:sz w:val="32"/>
          <w:szCs w:val="32"/>
        </w:rPr>
        <w:t>条　发挥信用信息共享平台作用，推进信用信息归集公示工作和部门间的信息互联共享机制建设，实现部门之间信息实时传递和无障碍交换，推进实施守信联合激励和失信联合惩戒工作，加大在县政府网站对失信行为的曝光力度，形成“一处违法，处处受限”的信用监管效应。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第十</w:t>
      </w:r>
      <w:r>
        <w:rPr>
          <w:rFonts w:hint="eastAsia" w:asciiTheme="minorEastAsia" w:hAnsiTheme="minorEastAsia" w:eastAsiaTheme="minorEastAsia"/>
          <w:color w:val="484848"/>
          <w:sz w:val="32"/>
          <w:szCs w:val="32"/>
          <w:lang w:val="en-US" w:eastAsia="zh-CN"/>
        </w:rPr>
        <w:t>三</w:t>
      </w:r>
      <w:r>
        <w:rPr>
          <w:rFonts w:hint="eastAsia" w:asciiTheme="minorEastAsia" w:hAnsiTheme="minorEastAsia" w:eastAsiaTheme="minorEastAsia"/>
          <w:color w:val="484848"/>
          <w:sz w:val="32"/>
          <w:szCs w:val="32"/>
        </w:rPr>
        <w:t>条　</w:t>
      </w:r>
      <w:bookmarkStart w:id="0" w:name="_GoBack"/>
      <w:bookmarkEnd w:id="0"/>
      <w:r>
        <w:rPr>
          <w:rFonts w:hint="eastAsia" w:asciiTheme="minorEastAsia" w:hAnsiTheme="minorEastAsia" w:eastAsiaTheme="minorEastAsia"/>
          <w:color w:val="484848"/>
          <w:sz w:val="32"/>
          <w:szCs w:val="32"/>
        </w:rPr>
        <w:t>加强对下级司法行政机关推行“双随机一公开”的执法监督检查。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第十</w:t>
      </w:r>
      <w:r>
        <w:rPr>
          <w:rFonts w:hint="eastAsia" w:asciiTheme="minorEastAsia" w:hAnsiTheme="minorEastAsia" w:eastAsiaTheme="minorEastAsia"/>
          <w:color w:val="484848"/>
          <w:sz w:val="32"/>
          <w:szCs w:val="32"/>
          <w:lang w:val="en-US" w:eastAsia="zh-CN"/>
        </w:rPr>
        <w:t>四</w:t>
      </w:r>
      <w:r>
        <w:rPr>
          <w:rFonts w:hint="eastAsia" w:asciiTheme="minorEastAsia" w:hAnsiTheme="minorEastAsia" w:eastAsiaTheme="minorEastAsia"/>
          <w:color w:val="484848"/>
          <w:sz w:val="32"/>
          <w:szCs w:val="32"/>
        </w:rPr>
        <w:t>条　本细则由县司法局负责解释。 </w:t>
      </w:r>
    </w:p>
    <w:p>
      <w:pPr>
        <w:pStyle w:val="3"/>
        <w:shd w:val="clear" w:color="auto" w:fill="FFFFFF"/>
        <w:spacing w:before="0" w:beforeAutospacing="0" w:after="0" w:afterAutospacing="0" w:line="450" w:lineRule="atLeast"/>
        <w:rPr>
          <w:rFonts w:hint="eastAsia" w:asciiTheme="minorEastAsia" w:hAnsiTheme="minorEastAsia" w:eastAsiaTheme="minorEastAsia"/>
          <w:color w:val="484848"/>
          <w:sz w:val="32"/>
          <w:szCs w:val="32"/>
        </w:rPr>
      </w:pPr>
      <w:r>
        <w:rPr>
          <w:rFonts w:hint="eastAsia" w:asciiTheme="minorEastAsia" w:hAnsiTheme="minorEastAsia" w:eastAsiaTheme="minorEastAsia"/>
          <w:color w:val="484848"/>
          <w:sz w:val="32"/>
          <w:szCs w:val="32"/>
        </w:rPr>
        <w:t>　　</w:t>
      </w:r>
    </w:p>
    <w:p>
      <w:pPr>
        <w:pStyle w:val="3"/>
        <w:shd w:val="clear" w:color="auto" w:fill="FFFFFF"/>
        <w:spacing w:before="0" w:beforeAutospacing="0" w:after="0" w:afterAutospacing="0" w:line="420" w:lineRule="atLeast"/>
        <w:ind w:firstLine="480"/>
        <w:jc w:val="both"/>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96987"/>
    <w:rsid w:val="00323B43"/>
    <w:rsid w:val="00345E0D"/>
    <w:rsid w:val="003D37D8"/>
    <w:rsid w:val="00426133"/>
    <w:rsid w:val="004358AB"/>
    <w:rsid w:val="00506EEA"/>
    <w:rsid w:val="00547AD0"/>
    <w:rsid w:val="008616FD"/>
    <w:rsid w:val="008B7726"/>
    <w:rsid w:val="00C11CC0"/>
    <w:rsid w:val="00D31D50"/>
    <w:rsid w:val="36413EC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6"/>
    <w:unhideWhenUsed/>
    <w:qFormat/>
    <w:uiPriority w:val="99"/>
    <w:pPr>
      <w:spacing w:after="0"/>
    </w:pPr>
    <w:rPr>
      <w:sz w:val="18"/>
      <w:szCs w:val="18"/>
    </w:rPr>
  </w:style>
  <w:style w:type="paragraph" w:styleId="3">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customStyle="1" w:styleId="6">
    <w:name w:val="批注框文本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223</Words>
  <Characters>1277</Characters>
  <Lines>10</Lines>
  <Paragraphs>2</Paragraphs>
  <TotalTime>0</TotalTime>
  <ScaleCrop>false</ScaleCrop>
  <LinksUpToDate>false</LinksUpToDate>
  <CharactersWithSpaces>1498</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season2</cp:lastModifiedBy>
  <cp:lastPrinted>2017-03-14T07:29:00Z</cp:lastPrinted>
  <dcterms:modified xsi:type="dcterms:W3CDTF">2017-03-14T07:57:06Z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