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1</w:t>
      </w:r>
    </w:p>
    <w:p>
      <w:pPr>
        <w:spacing w:line="7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县政府部门随机抽查事项清单统计表</w:t>
      </w:r>
    </w:p>
    <w:p>
      <w:pPr>
        <w:spacing w:line="700" w:lineRule="exact"/>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28"/>
          <w:szCs w:val="28"/>
          <w:lang w:eastAsia="zh-CN"/>
        </w:rPr>
        <w:t>填报部门：（加盖公章）</w:t>
      </w:r>
      <w:r>
        <w:rPr>
          <w:rFonts w:hint="eastAsia" w:ascii="仿宋" w:hAnsi="仿宋" w:eastAsia="仿宋" w:cs="仿宋"/>
          <w:sz w:val="28"/>
          <w:szCs w:val="28"/>
          <w:lang w:val="en-US" w:eastAsia="zh-CN"/>
        </w:rPr>
        <w:t xml:space="preserve">                                报送时间：2017年3月14日</w:t>
      </w:r>
    </w:p>
    <w:tbl>
      <w:tblPr>
        <w:tblStyle w:val="4"/>
        <w:tblW w:w="15062" w:type="dxa"/>
        <w:jc w:val="center"/>
        <w:tblInd w:w="-2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290"/>
        <w:gridCol w:w="5025"/>
        <w:gridCol w:w="1215"/>
        <w:gridCol w:w="1200"/>
        <w:gridCol w:w="720"/>
        <w:gridCol w:w="795"/>
        <w:gridCol w:w="930"/>
        <w:gridCol w:w="1125"/>
        <w:gridCol w:w="1590"/>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511"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序号</w:t>
            </w:r>
          </w:p>
        </w:tc>
        <w:tc>
          <w:tcPr>
            <w:tcW w:w="1290"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抽查事项</w:t>
            </w:r>
          </w:p>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名</w:t>
            </w:r>
            <w:r>
              <w:rPr>
                <w:rFonts w:hint="eastAsia" w:ascii="仿宋" w:hAnsi="仿宋" w:eastAsia="仿宋" w:cs="仿宋"/>
                <w:sz w:val="24"/>
                <w:szCs w:val="24"/>
                <w:vertAlign w:val="baseline"/>
                <w:lang w:val="en-US" w:eastAsia="zh-CN"/>
              </w:rPr>
              <w:t xml:space="preserve">    </w:t>
            </w:r>
            <w:r>
              <w:rPr>
                <w:rFonts w:hint="eastAsia" w:ascii="仿宋" w:hAnsi="仿宋" w:eastAsia="仿宋" w:cs="仿宋"/>
                <w:sz w:val="24"/>
                <w:szCs w:val="24"/>
                <w:vertAlign w:val="baseline"/>
                <w:lang w:eastAsia="zh-CN"/>
              </w:rPr>
              <w:t>称</w:t>
            </w:r>
          </w:p>
        </w:tc>
        <w:tc>
          <w:tcPr>
            <w:tcW w:w="5025"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抽查依据</w:t>
            </w:r>
          </w:p>
        </w:tc>
        <w:tc>
          <w:tcPr>
            <w:tcW w:w="1215"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抽查主体</w:t>
            </w:r>
          </w:p>
        </w:tc>
        <w:tc>
          <w:tcPr>
            <w:tcW w:w="1200"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抽查对象</w:t>
            </w:r>
          </w:p>
        </w:tc>
        <w:tc>
          <w:tcPr>
            <w:tcW w:w="720"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抽查比例</w:t>
            </w:r>
          </w:p>
        </w:tc>
        <w:tc>
          <w:tcPr>
            <w:tcW w:w="795"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抽查频次</w:t>
            </w:r>
          </w:p>
        </w:tc>
        <w:tc>
          <w:tcPr>
            <w:tcW w:w="930"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抽查方式</w:t>
            </w:r>
          </w:p>
        </w:tc>
        <w:tc>
          <w:tcPr>
            <w:tcW w:w="1125"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抽查内容</w:t>
            </w:r>
          </w:p>
        </w:tc>
        <w:tc>
          <w:tcPr>
            <w:tcW w:w="1590"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是否采用“双随机一公开”方式开展了随机抽查</w:t>
            </w:r>
          </w:p>
        </w:tc>
        <w:tc>
          <w:tcPr>
            <w:tcW w:w="661"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11" w:type="dxa"/>
            <w:vAlign w:val="center"/>
          </w:tcPr>
          <w:p>
            <w:pPr>
              <w:spacing w:line="70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290"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学校安全工作检</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查</w:t>
            </w:r>
          </w:p>
        </w:tc>
        <w:tc>
          <w:tcPr>
            <w:tcW w:w="5025" w:type="dxa"/>
            <w:textDirection w:val="lrTb"/>
            <w:vAlign w:val="center"/>
          </w:tcPr>
          <w:p>
            <w:pPr>
              <w:keepNext w:val="0"/>
              <w:keepLines w:val="0"/>
              <w:widowControl/>
              <w:suppressLineNumbers w:val="0"/>
              <w:jc w:val="center"/>
              <w:textAlignment w:val="center"/>
              <w:rPr>
                <w:rFonts w:hint="eastAsia" w:ascii="仿宋" w:hAnsi="仿宋" w:eastAsia="仿宋" w:cs="仿宋"/>
                <w:sz w:val="16"/>
                <w:szCs w:val="16"/>
                <w:vertAlign w:val="baseline"/>
                <w:lang w:eastAsia="zh-CN"/>
              </w:rPr>
            </w:pPr>
            <w:r>
              <w:rPr>
                <w:rFonts w:hint="eastAsia" w:ascii="宋体" w:hAnsi="宋体" w:eastAsia="宋体" w:cs="宋体"/>
                <w:i w:val="0"/>
                <w:color w:val="000000"/>
                <w:kern w:val="0"/>
                <w:sz w:val="16"/>
                <w:szCs w:val="16"/>
                <w:u w:val="none"/>
                <w:lang w:val="en-US" w:eastAsia="zh-CN" w:bidi="ar"/>
              </w:rPr>
              <w:t>《中小学幼儿园安全管理办法（教育部令第23号）第七条：教育行政部门对学校安全工作履行下列职责：（一）全面掌握学校安全工作状况，制定学校安全工作考核目标，加强对学校安全工作的检查指导，督促学校建立健全并落实安全管理制度；</w:t>
            </w:r>
          </w:p>
        </w:tc>
        <w:tc>
          <w:tcPr>
            <w:tcW w:w="1215" w:type="dxa"/>
            <w:vAlign w:val="top"/>
          </w:tcPr>
          <w:p>
            <w:pPr>
              <w:spacing w:line="700" w:lineRule="exact"/>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县教育局</w:t>
            </w:r>
          </w:p>
        </w:tc>
        <w:tc>
          <w:tcPr>
            <w:tcW w:w="1200"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中小学幼儿园</w:t>
            </w:r>
          </w:p>
        </w:tc>
        <w:tc>
          <w:tcPr>
            <w:tcW w:w="720" w:type="dxa"/>
            <w:vAlign w:val="top"/>
          </w:tcPr>
          <w:p>
            <w:pPr>
              <w:spacing w:line="70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w:t>
            </w:r>
          </w:p>
        </w:tc>
        <w:tc>
          <w:tcPr>
            <w:tcW w:w="795" w:type="dxa"/>
            <w:vAlign w:val="top"/>
          </w:tcPr>
          <w:p>
            <w:pPr>
              <w:spacing w:line="700" w:lineRule="exact"/>
              <w:jc w:val="left"/>
              <w:rPr>
                <w:rFonts w:hint="eastAsia" w:ascii="仿宋" w:hAnsi="仿宋" w:eastAsia="仿宋" w:cs="仿宋"/>
                <w:sz w:val="24"/>
                <w:szCs w:val="24"/>
                <w:vertAlign w:val="baseline"/>
                <w:lang w:eastAsia="zh-CN"/>
              </w:rPr>
            </w:pPr>
            <w:r>
              <w:rPr>
                <w:rFonts w:hint="eastAsia" w:ascii="仿宋" w:hAnsi="仿宋" w:eastAsia="仿宋" w:cs="仿宋"/>
                <w:sz w:val="18"/>
                <w:szCs w:val="18"/>
                <w:vertAlign w:val="baseline"/>
                <w:lang w:eastAsia="zh-CN"/>
              </w:rPr>
              <w:t>每学期</w:t>
            </w:r>
            <w:r>
              <w:rPr>
                <w:rFonts w:hint="eastAsia" w:ascii="仿宋" w:hAnsi="仿宋" w:eastAsia="仿宋" w:cs="仿宋"/>
                <w:sz w:val="18"/>
                <w:szCs w:val="18"/>
                <w:vertAlign w:val="baseline"/>
                <w:lang w:val="en-US" w:eastAsia="zh-CN"/>
              </w:rPr>
              <w:t>2次</w:t>
            </w:r>
          </w:p>
        </w:tc>
        <w:tc>
          <w:tcPr>
            <w:tcW w:w="930" w:type="dxa"/>
            <w:textDirection w:val="lrTb"/>
            <w:vAlign w:val="center"/>
          </w:tcPr>
          <w:p>
            <w:pPr>
              <w:keepNext w:val="0"/>
              <w:keepLines w:val="0"/>
              <w:widowControl/>
              <w:suppressLineNumbers w:val="0"/>
              <w:jc w:val="both"/>
              <w:textAlignment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现场检查</w:t>
            </w:r>
          </w:p>
        </w:tc>
        <w:tc>
          <w:tcPr>
            <w:tcW w:w="1125"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学校安全隐患排查</w:t>
            </w:r>
          </w:p>
        </w:tc>
        <w:tc>
          <w:tcPr>
            <w:tcW w:w="1590" w:type="dxa"/>
            <w:vAlign w:val="top"/>
          </w:tcPr>
          <w:p>
            <w:pPr>
              <w:spacing w:line="700" w:lineRule="exact"/>
              <w:jc w:val="left"/>
              <w:rPr>
                <w:rFonts w:hint="eastAsia" w:ascii="仿宋" w:hAnsi="仿宋" w:eastAsia="仿宋" w:cs="仿宋"/>
                <w:sz w:val="24"/>
                <w:szCs w:val="24"/>
                <w:vertAlign w:val="baseline"/>
                <w:lang w:eastAsia="zh-CN"/>
              </w:rPr>
            </w:pPr>
          </w:p>
        </w:tc>
        <w:tc>
          <w:tcPr>
            <w:tcW w:w="661" w:type="dxa"/>
            <w:vAlign w:val="top"/>
          </w:tcPr>
          <w:p>
            <w:pPr>
              <w:spacing w:line="700" w:lineRule="exact"/>
              <w:jc w:val="left"/>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11" w:type="dxa"/>
            <w:vAlign w:val="center"/>
          </w:tcPr>
          <w:p>
            <w:pPr>
              <w:spacing w:line="70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290"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中小学幼儿园教育收费情况监督检查</w:t>
            </w:r>
          </w:p>
        </w:tc>
        <w:tc>
          <w:tcPr>
            <w:tcW w:w="5025" w:type="dxa"/>
            <w:textDirection w:val="lrTb"/>
            <w:vAlign w:val="center"/>
          </w:tcPr>
          <w:p>
            <w:pPr>
              <w:keepNext w:val="0"/>
              <w:keepLines w:val="0"/>
              <w:widowControl/>
              <w:suppressLineNumbers w:val="0"/>
              <w:jc w:val="center"/>
              <w:textAlignment w:val="center"/>
              <w:rPr>
                <w:rFonts w:hint="eastAsia" w:ascii="仿宋" w:hAnsi="仿宋" w:eastAsia="仿宋" w:cs="仿宋"/>
                <w:sz w:val="16"/>
                <w:szCs w:val="16"/>
                <w:vertAlign w:val="baseline"/>
                <w:lang w:eastAsia="zh-CN"/>
              </w:rPr>
            </w:pPr>
            <w:r>
              <w:rPr>
                <w:rFonts w:hint="eastAsia" w:ascii="宋体" w:hAnsi="宋体" w:eastAsia="宋体" w:cs="宋体"/>
                <w:i w:val="0"/>
                <w:color w:val="000000"/>
                <w:kern w:val="0"/>
                <w:sz w:val="16"/>
                <w:szCs w:val="16"/>
                <w:u w:val="none"/>
                <w:lang w:val="en-US" w:eastAsia="zh-CN" w:bidi="ar"/>
              </w:rPr>
              <w:t xml:space="preserve">河南省教育厅转发教育部五部门《关于2014年规范教育收费治理教育乱收费工作的实施意见》的通知 </w:t>
            </w:r>
          </w:p>
        </w:tc>
        <w:tc>
          <w:tcPr>
            <w:tcW w:w="1215" w:type="dxa"/>
            <w:vAlign w:val="top"/>
          </w:tcPr>
          <w:p>
            <w:pPr>
              <w:spacing w:line="700" w:lineRule="exact"/>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县教育局</w:t>
            </w:r>
          </w:p>
        </w:tc>
        <w:tc>
          <w:tcPr>
            <w:tcW w:w="1200"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中小学校</w:t>
            </w:r>
          </w:p>
        </w:tc>
        <w:tc>
          <w:tcPr>
            <w:tcW w:w="720" w:type="dxa"/>
            <w:vAlign w:val="top"/>
          </w:tcPr>
          <w:p>
            <w:pPr>
              <w:spacing w:line="700" w:lineRule="exact"/>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50%</w:t>
            </w:r>
          </w:p>
        </w:tc>
        <w:tc>
          <w:tcPr>
            <w:tcW w:w="795" w:type="dxa"/>
            <w:vAlign w:val="top"/>
          </w:tcPr>
          <w:p>
            <w:pPr>
              <w:spacing w:line="700" w:lineRule="exact"/>
              <w:jc w:val="left"/>
              <w:rPr>
                <w:rFonts w:hint="eastAsia" w:ascii="仿宋" w:hAnsi="仿宋" w:eastAsia="仿宋" w:cs="仿宋"/>
                <w:sz w:val="24"/>
                <w:szCs w:val="24"/>
                <w:vertAlign w:val="baseline"/>
                <w:lang w:eastAsia="zh-CN"/>
              </w:rPr>
            </w:pPr>
            <w:r>
              <w:rPr>
                <w:rFonts w:hint="eastAsia" w:ascii="仿宋" w:hAnsi="仿宋" w:eastAsia="仿宋" w:cs="仿宋"/>
                <w:sz w:val="18"/>
                <w:szCs w:val="18"/>
                <w:vertAlign w:val="baseline"/>
                <w:lang w:eastAsia="zh-CN"/>
              </w:rPr>
              <w:t>每学期</w:t>
            </w:r>
            <w:r>
              <w:rPr>
                <w:rFonts w:hint="eastAsia" w:ascii="仿宋" w:hAnsi="仿宋" w:eastAsia="仿宋" w:cs="仿宋"/>
                <w:sz w:val="18"/>
                <w:szCs w:val="18"/>
                <w:vertAlign w:val="baseline"/>
                <w:lang w:val="en-US" w:eastAsia="zh-CN"/>
              </w:rPr>
              <w:t>1次</w:t>
            </w:r>
          </w:p>
        </w:tc>
        <w:tc>
          <w:tcPr>
            <w:tcW w:w="930"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cs="宋体"/>
                <w:i w:val="0"/>
                <w:color w:val="000000"/>
                <w:kern w:val="0"/>
                <w:sz w:val="20"/>
                <w:szCs w:val="20"/>
                <w:u w:val="none"/>
                <w:lang w:val="en-US" w:eastAsia="zh-CN" w:bidi="ar"/>
              </w:rPr>
              <w:t>抽样检验和抽样检验</w:t>
            </w:r>
          </w:p>
        </w:tc>
        <w:tc>
          <w:tcPr>
            <w:tcW w:w="1125"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学校收费情况</w:t>
            </w:r>
          </w:p>
        </w:tc>
        <w:tc>
          <w:tcPr>
            <w:tcW w:w="1590" w:type="dxa"/>
            <w:vAlign w:val="top"/>
          </w:tcPr>
          <w:p>
            <w:pPr>
              <w:spacing w:line="700" w:lineRule="exact"/>
              <w:jc w:val="left"/>
              <w:rPr>
                <w:rFonts w:hint="eastAsia" w:ascii="仿宋" w:hAnsi="仿宋" w:eastAsia="仿宋" w:cs="仿宋"/>
                <w:sz w:val="24"/>
                <w:szCs w:val="24"/>
                <w:vertAlign w:val="baseline"/>
                <w:lang w:eastAsia="zh-CN"/>
              </w:rPr>
            </w:pPr>
          </w:p>
        </w:tc>
        <w:tc>
          <w:tcPr>
            <w:tcW w:w="661" w:type="dxa"/>
            <w:vAlign w:val="top"/>
          </w:tcPr>
          <w:p>
            <w:pPr>
              <w:spacing w:line="700" w:lineRule="exact"/>
              <w:jc w:val="left"/>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11" w:type="dxa"/>
            <w:vAlign w:val="center"/>
          </w:tcPr>
          <w:p>
            <w:pPr>
              <w:spacing w:line="70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290"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《国家学生体质健康标准》实施情况检查</w:t>
            </w:r>
          </w:p>
        </w:tc>
        <w:tc>
          <w:tcPr>
            <w:tcW w:w="5025" w:type="dxa"/>
            <w:textDirection w:val="lrTb"/>
            <w:vAlign w:val="center"/>
          </w:tcPr>
          <w:p>
            <w:pPr>
              <w:keepNext w:val="0"/>
              <w:keepLines w:val="0"/>
              <w:widowControl/>
              <w:suppressLineNumbers w:val="0"/>
              <w:jc w:val="center"/>
              <w:textAlignment w:val="center"/>
              <w:rPr>
                <w:rFonts w:hint="eastAsia" w:ascii="仿宋" w:hAnsi="仿宋" w:eastAsia="仿宋" w:cs="仿宋"/>
                <w:sz w:val="16"/>
                <w:szCs w:val="16"/>
                <w:vertAlign w:val="baseline"/>
                <w:lang w:eastAsia="zh-CN"/>
              </w:rPr>
            </w:pPr>
            <w:r>
              <w:rPr>
                <w:rFonts w:hint="eastAsia" w:ascii="宋体" w:hAnsi="宋体" w:eastAsia="宋体" w:cs="宋体"/>
                <w:i w:val="0"/>
                <w:color w:val="000000"/>
                <w:kern w:val="0"/>
                <w:sz w:val="16"/>
                <w:szCs w:val="16"/>
                <w:u w:val="none"/>
                <w:lang w:val="en-US" w:eastAsia="zh-CN" w:bidi="ar"/>
              </w:rPr>
              <w:t>教育部关于印发《国家学生体质健康标准》（2014年修订）的通知</w:t>
            </w:r>
          </w:p>
        </w:tc>
        <w:tc>
          <w:tcPr>
            <w:tcW w:w="1215" w:type="dxa"/>
            <w:vAlign w:val="top"/>
          </w:tcPr>
          <w:p>
            <w:pPr>
              <w:spacing w:line="700" w:lineRule="exact"/>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县教育局</w:t>
            </w:r>
          </w:p>
        </w:tc>
        <w:tc>
          <w:tcPr>
            <w:tcW w:w="1200"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中小学校</w:t>
            </w:r>
          </w:p>
        </w:tc>
        <w:tc>
          <w:tcPr>
            <w:tcW w:w="720" w:type="dxa"/>
            <w:vAlign w:val="top"/>
          </w:tcPr>
          <w:p>
            <w:pPr>
              <w:spacing w:line="700" w:lineRule="exact"/>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50%</w:t>
            </w:r>
          </w:p>
        </w:tc>
        <w:tc>
          <w:tcPr>
            <w:tcW w:w="795" w:type="dxa"/>
            <w:vAlign w:val="top"/>
          </w:tcPr>
          <w:p>
            <w:pPr>
              <w:spacing w:line="700" w:lineRule="exact"/>
              <w:jc w:val="left"/>
              <w:rPr>
                <w:rFonts w:hint="eastAsia" w:ascii="仿宋" w:hAnsi="仿宋" w:eastAsia="仿宋" w:cs="仿宋"/>
                <w:sz w:val="24"/>
                <w:szCs w:val="24"/>
                <w:vertAlign w:val="baseline"/>
                <w:lang w:eastAsia="zh-CN"/>
              </w:rPr>
            </w:pPr>
            <w:r>
              <w:rPr>
                <w:rFonts w:hint="eastAsia" w:ascii="仿宋" w:hAnsi="仿宋" w:eastAsia="仿宋" w:cs="仿宋"/>
                <w:sz w:val="18"/>
                <w:szCs w:val="18"/>
                <w:vertAlign w:val="baseline"/>
                <w:lang w:eastAsia="zh-CN"/>
              </w:rPr>
              <w:t>每学年</w:t>
            </w:r>
            <w:r>
              <w:rPr>
                <w:rFonts w:hint="eastAsia" w:ascii="仿宋" w:hAnsi="仿宋" w:eastAsia="仿宋" w:cs="仿宋"/>
                <w:sz w:val="18"/>
                <w:szCs w:val="18"/>
                <w:vertAlign w:val="baseline"/>
                <w:lang w:val="en-US" w:eastAsia="zh-CN"/>
              </w:rPr>
              <w:t>1次</w:t>
            </w:r>
          </w:p>
        </w:tc>
        <w:tc>
          <w:tcPr>
            <w:tcW w:w="930"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双随机</w:t>
            </w:r>
          </w:p>
        </w:tc>
        <w:tc>
          <w:tcPr>
            <w:tcW w:w="1125"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审核学校学生体质健康测试</w:t>
            </w:r>
          </w:p>
        </w:tc>
        <w:tc>
          <w:tcPr>
            <w:tcW w:w="1590" w:type="dxa"/>
            <w:vAlign w:val="top"/>
          </w:tcPr>
          <w:p>
            <w:pPr>
              <w:spacing w:line="700" w:lineRule="exact"/>
              <w:jc w:val="left"/>
              <w:rPr>
                <w:rFonts w:hint="eastAsia" w:ascii="仿宋" w:hAnsi="仿宋" w:eastAsia="仿宋" w:cs="仿宋"/>
                <w:sz w:val="24"/>
                <w:szCs w:val="24"/>
                <w:vertAlign w:val="baseline"/>
                <w:lang w:eastAsia="zh-CN"/>
              </w:rPr>
            </w:pPr>
          </w:p>
        </w:tc>
        <w:tc>
          <w:tcPr>
            <w:tcW w:w="661" w:type="dxa"/>
            <w:vAlign w:val="top"/>
          </w:tcPr>
          <w:p>
            <w:pPr>
              <w:spacing w:line="700" w:lineRule="exact"/>
              <w:jc w:val="left"/>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11" w:type="dxa"/>
            <w:vAlign w:val="top"/>
          </w:tcPr>
          <w:p>
            <w:pPr>
              <w:spacing w:line="70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290"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中小学教学仪器设备管理使用检查</w:t>
            </w:r>
          </w:p>
        </w:tc>
        <w:tc>
          <w:tcPr>
            <w:tcW w:w="50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关于印发&lt;中小学实验室规程&gt;的通知》（教基二〔2009〕11号）第十二条：“地方各级教育行政部门要做好督导实验教学和考核、评估实验室使用效益等工作”。第二十二条：“要制定学校实验室工作考核评估指标体系，并认真组织考核”。</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关于进一步加强中小学图书馆（室）图书配备和管理工作的通知》（教基二〔2011〕1号）“各地教育行政部门和新闻出版行政部门要加强对中小学图书馆图书采购活动的监管，凡向中小学校销售内容不健康、质量低劣、盗版、不适合中小学生阅读的图书，牟取不当利益的单位和个人，发现一起，查处一起，并向社会媒体曝光。”</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《关于进一步加强全省中小学教育技术装备工作的意见》（教技装〔2007〕503号）第六部分：“各地要把实验室建设工作纳入督导评估范围，加强对学校实验室装备情况进行检查、指导”。   </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关于加强中小学教学仪器设备质量管控工作的意见》（教技装〔2010〕968号）第二条：“各级教育行政部门要不定期地对进入学校的教学仪器设备产品质量进行抽查，产品质量抽查结果上报省级教育技术装备部门，并适时予以公示。”   </w:t>
            </w:r>
          </w:p>
          <w:p>
            <w:pPr>
              <w:keepNext w:val="0"/>
              <w:keepLines w:val="0"/>
              <w:widowControl/>
              <w:suppressLineNumbers w:val="0"/>
              <w:jc w:val="center"/>
              <w:textAlignment w:val="center"/>
              <w:rPr>
                <w:rFonts w:hint="eastAsia" w:ascii="仿宋" w:hAnsi="仿宋" w:eastAsia="仿宋" w:cs="仿宋"/>
                <w:sz w:val="16"/>
                <w:szCs w:val="16"/>
                <w:vertAlign w:val="baseline"/>
                <w:lang w:eastAsia="zh-CN"/>
              </w:rPr>
            </w:pPr>
            <w:r>
              <w:rPr>
                <w:rFonts w:hint="eastAsia" w:ascii="宋体" w:hAnsi="宋体" w:eastAsia="宋体" w:cs="宋体"/>
                <w:i w:val="0"/>
                <w:color w:val="000000"/>
                <w:kern w:val="0"/>
                <w:sz w:val="16"/>
                <w:szCs w:val="16"/>
                <w:u w:val="none"/>
                <w:lang w:val="en-US" w:eastAsia="zh-CN" w:bidi="ar"/>
              </w:rPr>
              <w:t xml:space="preserve">    《关于印发&lt;河南省中小学教学仪器设备管理暂行办法&gt;的通知》（教技装〔2014〕117号）第三条：“教育技术装备管理部门要指导下级教育技术装备管理部门和学校做好教学仪器设备的管理和使用”。第七条：“对批量采购的教学仪器设备，教育装备管理部门要会同有关部门对产品质量进行督导检查”。第十一条：“教育装备管理部门要对所属学校教学仪器设备的配备情况建立档案”。</w:t>
            </w:r>
          </w:p>
        </w:tc>
        <w:tc>
          <w:tcPr>
            <w:tcW w:w="1215" w:type="dxa"/>
            <w:vAlign w:val="top"/>
          </w:tcPr>
          <w:p>
            <w:pPr>
              <w:spacing w:line="700" w:lineRule="exact"/>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县教育局</w:t>
            </w:r>
          </w:p>
        </w:tc>
        <w:tc>
          <w:tcPr>
            <w:tcW w:w="1200"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义务教育阶段学校</w:t>
            </w:r>
          </w:p>
        </w:tc>
        <w:tc>
          <w:tcPr>
            <w:tcW w:w="720" w:type="dxa"/>
            <w:vAlign w:val="top"/>
          </w:tcPr>
          <w:p>
            <w:pPr>
              <w:spacing w:line="700" w:lineRule="exact"/>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50%</w:t>
            </w:r>
          </w:p>
        </w:tc>
        <w:tc>
          <w:tcPr>
            <w:tcW w:w="795" w:type="dxa"/>
            <w:vAlign w:val="top"/>
          </w:tcPr>
          <w:p>
            <w:pPr>
              <w:spacing w:line="700" w:lineRule="exact"/>
              <w:jc w:val="left"/>
              <w:rPr>
                <w:rFonts w:hint="eastAsia" w:ascii="仿宋" w:hAnsi="仿宋" w:eastAsia="仿宋" w:cs="仿宋"/>
                <w:sz w:val="24"/>
                <w:szCs w:val="24"/>
                <w:vertAlign w:val="baseline"/>
                <w:lang w:eastAsia="zh-CN"/>
              </w:rPr>
            </w:pPr>
            <w:r>
              <w:rPr>
                <w:rFonts w:hint="eastAsia" w:ascii="仿宋" w:hAnsi="仿宋" w:eastAsia="仿宋" w:cs="仿宋"/>
                <w:sz w:val="18"/>
                <w:szCs w:val="18"/>
                <w:vertAlign w:val="baseline"/>
                <w:lang w:eastAsia="zh-CN"/>
              </w:rPr>
              <w:t>每学期</w:t>
            </w:r>
            <w:r>
              <w:rPr>
                <w:rFonts w:hint="eastAsia" w:ascii="仿宋" w:hAnsi="仿宋" w:eastAsia="仿宋" w:cs="仿宋"/>
                <w:sz w:val="18"/>
                <w:szCs w:val="18"/>
                <w:vertAlign w:val="baseline"/>
                <w:lang w:val="en-US" w:eastAsia="zh-CN"/>
              </w:rPr>
              <w:t>1次</w:t>
            </w:r>
          </w:p>
        </w:tc>
        <w:tc>
          <w:tcPr>
            <w:tcW w:w="930"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cs="宋体"/>
                <w:i w:val="0"/>
                <w:color w:val="000000"/>
                <w:kern w:val="0"/>
                <w:sz w:val="20"/>
                <w:szCs w:val="20"/>
                <w:u w:val="none"/>
                <w:lang w:val="en-US" w:eastAsia="zh-CN" w:bidi="ar"/>
              </w:rPr>
              <w:t>现场检验和抽样检验</w:t>
            </w:r>
          </w:p>
        </w:tc>
        <w:tc>
          <w:tcPr>
            <w:tcW w:w="1125" w:type="dxa"/>
            <w:textDirection w:val="lrTb"/>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辖区中小学教学仪器设备管理使用进行检查</w:t>
            </w:r>
          </w:p>
        </w:tc>
        <w:tc>
          <w:tcPr>
            <w:tcW w:w="1590" w:type="dxa"/>
            <w:vAlign w:val="top"/>
          </w:tcPr>
          <w:p>
            <w:pPr>
              <w:spacing w:line="700" w:lineRule="exact"/>
              <w:jc w:val="left"/>
              <w:rPr>
                <w:rFonts w:hint="eastAsia" w:ascii="仿宋" w:hAnsi="仿宋" w:eastAsia="仿宋" w:cs="仿宋"/>
                <w:sz w:val="24"/>
                <w:szCs w:val="24"/>
                <w:vertAlign w:val="baseline"/>
                <w:lang w:eastAsia="zh-CN"/>
              </w:rPr>
            </w:pPr>
            <w:bookmarkStart w:id="0" w:name="_GoBack"/>
            <w:bookmarkEnd w:id="0"/>
          </w:p>
        </w:tc>
        <w:tc>
          <w:tcPr>
            <w:tcW w:w="661" w:type="dxa"/>
            <w:vAlign w:val="top"/>
          </w:tcPr>
          <w:p>
            <w:pPr>
              <w:spacing w:line="700" w:lineRule="exact"/>
              <w:jc w:val="left"/>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11" w:type="dxa"/>
            <w:vAlign w:val="top"/>
          </w:tcPr>
          <w:p>
            <w:pPr>
              <w:spacing w:line="700" w:lineRule="exact"/>
              <w:jc w:val="left"/>
              <w:rPr>
                <w:rFonts w:hint="eastAsia" w:ascii="仿宋" w:hAnsi="仿宋" w:eastAsia="仿宋" w:cs="仿宋"/>
                <w:sz w:val="24"/>
                <w:szCs w:val="24"/>
                <w:vertAlign w:val="baseline"/>
                <w:lang w:eastAsia="zh-CN"/>
              </w:rPr>
            </w:pPr>
          </w:p>
        </w:tc>
        <w:tc>
          <w:tcPr>
            <w:tcW w:w="1290" w:type="dxa"/>
            <w:vAlign w:val="top"/>
          </w:tcPr>
          <w:p>
            <w:pPr>
              <w:spacing w:line="700" w:lineRule="exact"/>
              <w:jc w:val="left"/>
              <w:rPr>
                <w:rFonts w:hint="eastAsia" w:ascii="仿宋" w:hAnsi="仿宋" w:eastAsia="仿宋" w:cs="仿宋"/>
                <w:sz w:val="24"/>
                <w:szCs w:val="24"/>
                <w:vertAlign w:val="baseline"/>
                <w:lang w:eastAsia="zh-CN"/>
              </w:rPr>
            </w:pPr>
          </w:p>
        </w:tc>
        <w:tc>
          <w:tcPr>
            <w:tcW w:w="5025" w:type="dxa"/>
            <w:vAlign w:val="top"/>
          </w:tcPr>
          <w:p>
            <w:pPr>
              <w:spacing w:line="700" w:lineRule="exact"/>
              <w:jc w:val="left"/>
              <w:rPr>
                <w:rFonts w:hint="eastAsia" w:ascii="仿宋" w:hAnsi="仿宋" w:eastAsia="仿宋" w:cs="仿宋"/>
                <w:sz w:val="24"/>
                <w:szCs w:val="24"/>
                <w:vertAlign w:val="baseline"/>
                <w:lang w:eastAsia="zh-CN"/>
              </w:rPr>
            </w:pPr>
          </w:p>
        </w:tc>
        <w:tc>
          <w:tcPr>
            <w:tcW w:w="1215" w:type="dxa"/>
            <w:vAlign w:val="top"/>
          </w:tcPr>
          <w:p>
            <w:pPr>
              <w:spacing w:line="700" w:lineRule="exact"/>
              <w:jc w:val="left"/>
              <w:rPr>
                <w:rFonts w:hint="eastAsia" w:ascii="仿宋" w:hAnsi="仿宋" w:eastAsia="仿宋" w:cs="仿宋"/>
                <w:sz w:val="24"/>
                <w:szCs w:val="24"/>
                <w:vertAlign w:val="baseline"/>
                <w:lang w:eastAsia="zh-CN"/>
              </w:rPr>
            </w:pPr>
          </w:p>
        </w:tc>
        <w:tc>
          <w:tcPr>
            <w:tcW w:w="1200" w:type="dxa"/>
            <w:vAlign w:val="top"/>
          </w:tcPr>
          <w:p>
            <w:pPr>
              <w:spacing w:line="700" w:lineRule="exact"/>
              <w:jc w:val="left"/>
              <w:rPr>
                <w:rFonts w:hint="eastAsia" w:ascii="仿宋" w:hAnsi="仿宋" w:eastAsia="仿宋" w:cs="仿宋"/>
                <w:sz w:val="24"/>
                <w:szCs w:val="24"/>
                <w:vertAlign w:val="baseline"/>
                <w:lang w:eastAsia="zh-CN"/>
              </w:rPr>
            </w:pPr>
          </w:p>
        </w:tc>
        <w:tc>
          <w:tcPr>
            <w:tcW w:w="720" w:type="dxa"/>
            <w:vAlign w:val="top"/>
          </w:tcPr>
          <w:p>
            <w:pPr>
              <w:spacing w:line="700" w:lineRule="exact"/>
              <w:jc w:val="left"/>
              <w:rPr>
                <w:rFonts w:hint="eastAsia" w:ascii="仿宋" w:hAnsi="仿宋" w:eastAsia="仿宋" w:cs="仿宋"/>
                <w:sz w:val="24"/>
                <w:szCs w:val="24"/>
                <w:vertAlign w:val="baseline"/>
                <w:lang w:eastAsia="zh-CN"/>
              </w:rPr>
            </w:pPr>
          </w:p>
        </w:tc>
        <w:tc>
          <w:tcPr>
            <w:tcW w:w="795" w:type="dxa"/>
            <w:vAlign w:val="top"/>
          </w:tcPr>
          <w:p>
            <w:pPr>
              <w:spacing w:line="700" w:lineRule="exact"/>
              <w:jc w:val="left"/>
              <w:rPr>
                <w:rFonts w:hint="eastAsia" w:ascii="仿宋" w:hAnsi="仿宋" w:eastAsia="仿宋" w:cs="仿宋"/>
                <w:sz w:val="24"/>
                <w:szCs w:val="24"/>
                <w:vertAlign w:val="baseline"/>
                <w:lang w:eastAsia="zh-CN"/>
              </w:rPr>
            </w:pPr>
          </w:p>
        </w:tc>
        <w:tc>
          <w:tcPr>
            <w:tcW w:w="930" w:type="dxa"/>
            <w:vAlign w:val="top"/>
          </w:tcPr>
          <w:p>
            <w:pPr>
              <w:spacing w:line="700" w:lineRule="exact"/>
              <w:jc w:val="left"/>
              <w:rPr>
                <w:rFonts w:hint="eastAsia" w:ascii="仿宋" w:hAnsi="仿宋" w:eastAsia="仿宋" w:cs="仿宋"/>
                <w:sz w:val="24"/>
                <w:szCs w:val="24"/>
                <w:vertAlign w:val="baseline"/>
                <w:lang w:eastAsia="zh-CN"/>
              </w:rPr>
            </w:pPr>
          </w:p>
        </w:tc>
        <w:tc>
          <w:tcPr>
            <w:tcW w:w="1125" w:type="dxa"/>
            <w:vAlign w:val="top"/>
          </w:tcPr>
          <w:p>
            <w:pPr>
              <w:spacing w:line="700" w:lineRule="exact"/>
              <w:jc w:val="left"/>
              <w:rPr>
                <w:rFonts w:hint="eastAsia" w:ascii="仿宋" w:hAnsi="仿宋" w:eastAsia="仿宋" w:cs="仿宋"/>
                <w:sz w:val="24"/>
                <w:szCs w:val="24"/>
                <w:vertAlign w:val="baseline"/>
                <w:lang w:eastAsia="zh-CN"/>
              </w:rPr>
            </w:pPr>
          </w:p>
        </w:tc>
        <w:tc>
          <w:tcPr>
            <w:tcW w:w="1590" w:type="dxa"/>
            <w:vAlign w:val="top"/>
          </w:tcPr>
          <w:p>
            <w:pPr>
              <w:spacing w:line="700" w:lineRule="exact"/>
              <w:jc w:val="left"/>
              <w:rPr>
                <w:rFonts w:hint="eastAsia" w:ascii="仿宋" w:hAnsi="仿宋" w:eastAsia="仿宋" w:cs="仿宋"/>
                <w:sz w:val="24"/>
                <w:szCs w:val="24"/>
                <w:vertAlign w:val="baseline"/>
                <w:lang w:eastAsia="zh-CN"/>
              </w:rPr>
            </w:pPr>
          </w:p>
        </w:tc>
        <w:tc>
          <w:tcPr>
            <w:tcW w:w="661" w:type="dxa"/>
            <w:vAlign w:val="top"/>
          </w:tcPr>
          <w:p>
            <w:pPr>
              <w:spacing w:line="700" w:lineRule="exact"/>
              <w:jc w:val="left"/>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5062" w:type="dxa"/>
            <w:gridSpan w:val="11"/>
            <w:vAlign w:val="top"/>
          </w:tcPr>
          <w:p>
            <w:pPr>
              <w:spacing w:line="700" w:lineRule="exact"/>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联系人：王少勇</w:t>
            </w:r>
            <w:r>
              <w:rPr>
                <w:rFonts w:hint="eastAsia" w:ascii="仿宋" w:hAnsi="仿宋" w:eastAsia="仿宋" w:cs="仿宋"/>
                <w:sz w:val="24"/>
                <w:szCs w:val="24"/>
                <w:vertAlign w:val="baseline"/>
                <w:lang w:val="en-US" w:eastAsia="zh-CN"/>
              </w:rPr>
              <w:t xml:space="preserve">                  电话：13525639346</w:t>
            </w:r>
          </w:p>
        </w:tc>
      </w:tr>
    </w:tbl>
    <w:p>
      <w:pPr>
        <w:spacing w:line="700" w:lineRule="exact"/>
        <w:jc w:val="left"/>
      </w:pP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注：需列出法律法规规章规定的全部检查事项，不能只列出已采用“双随机一公开”方式开展随机抽查的事项。</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325D4"/>
    <w:rsid w:val="02F56BB6"/>
    <w:rsid w:val="0A606DC1"/>
    <w:rsid w:val="16B97C40"/>
    <w:rsid w:val="223469F7"/>
    <w:rsid w:val="287D6657"/>
    <w:rsid w:val="3C395833"/>
    <w:rsid w:val="4AA11DC9"/>
    <w:rsid w:val="508D14E2"/>
    <w:rsid w:val="51CA521C"/>
    <w:rsid w:val="721A48EA"/>
    <w:rsid w:val="7C640C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2017-03-30T03:19:00Z</cp:lastPrinted>
  <dcterms:modified xsi:type="dcterms:W3CDTF">2017-03-30T06:50:38Z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