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ind w:right="17"/>
        <w:rPr>
          <w:rFonts w:hint="eastAsia" w:ascii="仿宋_GB2312"/>
          <w:color w:val="000000"/>
        </w:rPr>
      </w:pPr>
    </w:p>
    <w:p>
      <w:pPr>
        <w:spacing w:line="240" w:lineRule="atLeast"/>
        <w:jc w:val="center"/>
        <w:rPr>
          <w:rFonts w:hint="eastAsia" w:eastAsia="长城小标宋体"/>
          <w:b/>
          <w:bCs/>
          <w:color w:val="EAD616"/>
          <w:sz w:val="48"/>
          <w14:shadow w14:blurRad="50800" w14:dist="38100" w14:dir="2700000" w14:sx="100000" w14:sy="100000" w14:kx="0" w14:ky="0" w14:algn="tl">
            <w14:srgbClr w14:val="000000">
              <w14:alpha w14:val="60000"/>
            </w14:srgbClr>
          </w14:shadow>
        </w:rPr>
      </w:pPr>
      <w:bookmarkStart w:id="0" w:name="单位名称"/>
      <w:bookmarkEnd w:id="0"/>
    </w:p>
    <w:p>
      <w:pPr>
        <w:spacing w:line="240" w:lineRule="atLeast"/>
        <w:ind w:firstLine="2080" w:firstLineChars="400"/>
        <w:rPr>
          <w:rFonts w:hint="eastAsia" w:ascii="方正小标宋简体" w:hAnsi="方正小标宋简体" w:eastAsia="方正小标宋简体" w:cs="方正小标宋简体"/>
          <w:bCs/>
          <w:color w:val="FF0000"/>
          <w:sz w:val="52"/>
          <w:szCs w:val="52"/>
        </w:rPr>
      </w:pPr>
      <w:r>
        <w:rPr>
          <w:rFonts w:hint="eastAsia" w:ascii="方正小标宋简体" w:hAnsi="方正小标宋简体" w:eastAsia="方正小标宋简体" w:cs="方正小标宋简体"/>
          <w:color w:val="FF0000"/>
          <w:sz w:val="52"/>
          <w:szCs w:val="52"/>
        </w:rPr>
        <mc:AlternateContent>
          <mc:Choice Requires="wps">
            <w:drawing>
              <wp:anchor distT="0" distB="0" distL="114300" distR="114300" simplePos="0" relativeHeight="251658240" behindDoc="0" locked="0" layoutInCell="1" allowOverlap="1">
                <wp:simplePos x="0" y="0"/>
                <wp:positionH relativeFrom="column">
                  <wp:posOffset>-1005840</wp:posOffset>
                </wp:positionH>
                <wp:positionV relativeFrom="paragraph">
                  <wp:posOffset>1106805</wp:posOffset>
                </wp:positionV>
                <wp:extent cx="7558405" cy="1099185"/>
                <wp:effectExtent l="0" t="0" r="4445" b="5715"/>
                <wp:wrapTopAndBottom/>
                <wp:docPr id="4" name="文本框 4"/>
                <wp:cNvGraphicFramePr/>
                <a:graphic xmlns:a="http://schemas.openxmlformats.org/drawingml/2006/main">
                  <a:graphicData uri="http://schemas.microsoft.com/office/word/2010/wordprocessingShape">
                    <wps:wsp>
                      <wps:cNvSpPr txBox="1"/>
                      <wps:spPr>
                        <a:xfrm>
                          <a:off x="0" y="0"/>
                          <a:ext cx="7558405" cy="1099185"/>
                        </a:xfrm>
                        <a:prstGeom prst="rect">
                          <a:avLst/>
                        </a:prstGeom>
                        <a:solidFill>
                          <a:srgbClr val="333399"/>
                        </a:solidFill>
                        <a:ln w="9525">
                          <a:noFill/>
                        </a:ln>
                      </wps:spPr>
                      <wps:txbx>
                        <w:txbxContent>
                          <w:p>
                            <w:pPr>
                              <w:jc w:val="center"/>
                              <w:rPr>
                                <w:rFonts w:hint="eastAsia" w:eastAsia="长城小标宋体"/>
                                <w:b/>
                                <w:bCs/>
                                <w:color w:val="FFFFFF"/>
                                <w:sz w:val="112"/>
                              </w:rPr>
                            </w:pPr>
                            <w:r>
                              <w:rPr>
                                <w:rFonts w:hint="eastAsia" w:eastAsia="长城小标宋体"/>
                                <w:b/>
                                <w:bCs/>
                                <w:color w:val="FFFFFF"/>
                                <w:sz w:val="112"/>
                              </w:rPr>
                              <w:t xml:space="preserve"> 审计结果公告</w:t>
                            </w:r>
                          </w:p>
                          <w:p/>
                        </w:txbxContent>
                      </wps:txbx>
                      <wps:bodyPr upright="1"/>
                    </wps:wsp>
                  </a:graphicData>
                </a:graphic>
              </wp:anchor>
            </w:drawing>
          </mc:Choice>
          <mc:Fallback>
            <w:pict>
              <v:shape id="_x0000_s1026" o:spid="_x0000_s1026" o:spt="202" type="#_x0000_t202" style="position:absolute;left:0pt;margin-left:-79.2pt;margin-top:87.15pt;height:86.55pt;width:595.15pt;mso-wrap-distance-bottom:0pt;mso-wrap-distance-top:0pt;z-index:251658240;mso-width-relative:page;mso-height-relative:page;" fillcolor="#333399" filled="t" stroked="f" coordsize="21600,21600" o:gfxdata="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vt1i3gAAAA0BAAAPAAAAAAAAAAEAIAAAACIAAABkcnMvZG93bnJldi54bWxQSwECFAAUAAAA&#10;CACHTuJAFt9QUq8BAAAzAwAADgAAAAAAAAABACAAAAAtAQAAZHJzL2Uyb0RvYy54bWxQSwUGAAAA&#10;AAYABgBZAQAATgUAAAAA&#10;">
                <v:fill on="t" focussize="0,0"/>
                <v:stroke on="f"/>
                <v:imagedata o:title=""/>
                <o:lock v:ext="edit" aspectratio="f"/>
                <v:textbox>
                  <w:txbxContent>
                    <w:p>
                      <w:pPr>
                        <w:jc w:val="center"/>
                        <w:rPr>
                          <w:rFonts w:hint="eastAsia" w:eastAsia="长城小标宋体"/>
                          <w:b/>
                          <w:bCs/>
                          <w:color w:val="FFFFFF"/>
                          <w:sz w:val="112"/>
                        </w:rPr>
                      </w:pPr>
                      <w:r>
                        <w:rPr>
                          <w:rFonts w:hint="eastAsia" w:eastAsia="长城小标宋体"/>
                          <w:b/>
                          <w:bCs/>
                          <w:color w:val="FFFFFF"/>
                          <w:sz w:val="112"/>
                        </w:rPr>
                        <w:t xml:space="preserve"> 审计结果公告</w:t>
                      </w:r>
                    </w:p>
                    <w:p/>
                  </w:txbxContent>
                </v:textbox>
                <w10:wrap type="topAndBottom"/>
              </v:shape>
            </w:pict>
          </mc:Fallback>
        </mc:AlternateContent>
      </w:r>
      <w:r>
        <w:rPr>
          <w:rFonts w:hint="eastAsia" w:ascii="方正小标宋简体" w:hAnsi="方正小标宋简体" w:eastAsia="方正小标宋简体" w:cs="方正小标宋简体"/>
          <w:bCs/>
          <w:color w:val="FF0000"/>
          <w:sz w:val="52"/>
          <w:szCs w:val="52"/>
        </w:rPr>
        <w:t>濮 阳 县 审 计 局</w:t>
      </w:r>
    </w:p>
    <w:p>
      <w:pPr>
        <w:pStyle w:val="3"/>
        <w:snapToGrid w:val="0"/>
        <w:spacing w:line="240" w:lineRule="atLeast"/>
        <w:rPr>
          <w:rFonts w:hint="eastAsia" w:eastAsia="长城小标宋体"/>
          <w:b/>
          <w:bCs/>
          <w:sz w:val="13"/>
        </w:rPr>
      </w:pPr>
    </w:p>
    <w:p>
      <w:pPr>
        <w:pStyle w:val="3"/>
        <w:snapToGrid w:val="0"/>
        <w:spacing w:line="240" w:lineRule="atLeast"/>
        <w:jc w:val="center"/>
        <w:rPr>
          <w:rFonts w:hint="eastAsia" w:eastAsia="长城小标宋体"/>
          <w:b/>
          <w:bCs/>
          <w:sz w:val="36"/>
        </w:rPr>
      </w:pPr>
    </w:p>
    <w:p>
      <w:pPr>
        <w:spacing w:line="0" w:lineRule="atLeast"/>
        <w:ind w:left="302" w:right="238"/>
        <w:jc w:val="center"/>
        <w:rPr>
          <w:rFonts w:hint="eastAsia" w:eastAsia="长城小标宋体"/>
          <w:b/>
          <w:bCs/>
          <w:sz w:val="36"/>
        </w:rPr>
      </w:pPr>
      <w:bookmarkStart w:id="1" w:name="文号"/>
      <w:bookmarkEnd w:id="1"/>
    </w:p>
    <w:p>
      <w:pPr>
        <w:spacing w:line="0" w:lineRule="atLeast"/>
        <w:ind w:left="302" w:right="238"/>
        <w:jc w:val="center"/>
        <w:rPr>
          <w:rFonts w:eastAsia="长城小标宋体"/>
          <w:b/>
          <w:bCs/>
          <w:sz w:val="36"/>
        </w:rPr>
      </w:pPr>
      <w:r>
        <w:rPr>
          <w:rFonts w:hint="eastAsia" w:eastAsia="长城小标宋体"/>
          <w:b/>
          <w:bCs/>
          <w:sz w:val="36"/>
        </w:rPr>
        <w:t>2018年第</w:t>
      </w:r>
      <w:r>
        <w:rPr>
          <w:rFonts w:hint="eastAsia" w:eastAsia="长城小标宋体"/>
          <w:b/>
          <w:bCs/>
          <w:sz w:val="36"/>
          <w:lang w:val="en-US" w:eastAsia="zh-CN"/>
        </w:rPr>
        <w:t>1</w:t>
      </w:r>
      <w:r>
        <w:rPr>
          <w:rFonts w:hint="eastAsia" w:eastAsia="长城小标宋体"/>
          <w:b/>
          <w:bCs/>
          <w:sz w:val="36"/>
        </w:rPr>
        <w:t>号</w:t>
      </w:r>
    </w:p>
    <w:p>
      <w:pPr>
        <w:jc w:val="center"/>
        <w:rPr>
          <w:rFonts w:hint="eastAsia" w:ascii="方正小标宋简体" w:eastAsia="方正小标宋简体"/>
          <w:sz w:val="44"/>
        </w:rPr>
      </w:pPr>
      <w:bookmarkStart w:id="2" w:name="文件标题"/>
      <w:bookmarkEnd w:id="2"/>
    </w:p>
    <w:p>
      <w:pPr>
        <w:jc w:val="center"/>
        <w:rPr>
          <w:rFonts w:hint="eastAsia" w:ascii="方正小标宋简体" w:eastAsia="方正小标宋简体"/>
          <w:sz w:val="44"/>
        </w:rPr>
      </w:pPr>
    </w:p>
    <w:p>
      <w:pPr>
        <w:jc w:val="center"/>
        <w:rPr>
          <w:rFonts w:hint="eastAsia" w:ascii="方正小标宋简体" w:eastAsia="方正小标宋简体"/>
          <w:sz w:val="44"/>
        </w:rPr>
      </w:pPr>
    </w:p>
    <w:p>
      <w:pPr>
        <w:jc w:val="center"/>
        <w:rPr>
          <w:rFonts w:hint="eastAsia" w:ascii="方正小标宋简体" w:eastAsia="方正小标宋简体"/>
          <w:sz w:val="44"/>
        </w:rPr>
      </w:pPr>
    </w:p>
    <w:p>
      <w:pPr>
        <w:jc w:val="center"/>
        <w:rPr>
          <w:rFonts w:hint="eastAsia" w:ascii="方正小标宋简体" w:eastAsia="方正小标宋简体"/>
          <w:sz w:val="44"/>
        </w:rPr>
      </w:pPr>
    </w:p>
    <w:p>
      <w:pPr>
        <w:pStyle w:val="2"/>
        <w:rPr>
          <w:rFonts w:hint="eastAsia" w:ascii="方正小标宋简体" w:eastAsia="方正小标宋简体"/>
          <w:sz w:val="44"/>
        </w:rPr>
      </w:pPr>
    </w:p>
    <w:p>
      <w:pPr>
        <w:pStyle w:val="2"/>
        <w:rPr>
          <w:rFonts w:hint="eastAsia" w:ascii="方正小标宋简体" w:eastAsia="方正小标宋简体"/>
          <w:sz w:val="44"/>
        </w:rPr>
      </w:pPr>
    </w:p>
    <w:p>
      <w:pPr>
        <w:jc w:val="center"/>
        <w:rPr>
          <w:rFonts w:hint="eastAsia" w:ascii="方正小标宋简体" w:eastAsia="方正小标宋简体"/>
          <w:sz w:val="32"/>
          <w:szCs w:val="32"/>
        </w:rPr>
      </w:pPr>
      <w:r>
        <w:rPr>
          <w:rFonts w:hint="eastAsia" w:ascii="方正小标宋简体" w:eastAsia="方正小标宋简体"/>
          <w:sz w:val="32"/>
          <w:szCs w:val="32"/>
        </w:rPr>
        <w:t>濮阳县审计局办公室</w:t>
      </w:r>
    </w:p>
    <w:p>
      <w:pPr>
        <w:keepNext w:val="0"/>
        <w:keepLines w:val="0"/>
        <w:pageBreakBefore w:val="0"/>
        <w:widowControl w:val="0"/>
        <w:tabs>
          <w:tab w:val="left" w:pos="945"/>
          <w:tab w:val="left" w:pos="3150"/>
          <w:tab w:val="left" w:pos="7875"/>
          <w:tab w:val="left" w:pos="8505"/>
        </w:tabs>
        <w:kinsoku/>
        <w:wordWrap/>
        <w:overflowPunct/>
        <w:topLinePunct w:val="0"/>
        <w:autoSpaceDE/>
        <w:autoSpaceDN/>
        <w:bidi w:val="0"/>
        <w:adjustRightInd w:val="0"/>
        <w:snapToGrid w:val="0"/>
        <w:jc w:val="center"/>
        <w:textAlignment w:val="baseline"/>
        <w:rPr>
          <w:rFonts w:hint="eastAsia" w:ascii="方正小标宋简体" w:eastAsia="方正小标宋简体"/>
          <w:sz w:val="44"/>
        </w:rPr>
      </w:pPr>
      <w:r>
        <w:rPr>
          <w:rFonts w:hint="eastAsia" w:ascii="方正小标宋简体" w:eastAsia="方正小标宋简体"/>
          <w:sz w:val="44"/>
        </w:rPr>
        <w:t>濮阳县</w:t>
      </w:r>
      <w:r>
        <w:rPr>
          <w:rFonts w:hint="eastAsia" w:ascii="方正小标宋简体" w:eastAsia="方正小标宋简体"/>
          <w:sz w:val="44"/>
          <w:lang w:eastAsia="zh-CN"/>
        </w:rPr>
        <w:t>公路管理局</w:t>
      </w:r>
    </w:p>
    <w:p>
      <w:pPr>
        <w:keepNext w:val="0"/>
        <w:keepLines w:val="0"/>
        <w:pageBreakBefore w:val="0"/>
        <w:widowControl w:val="0"/>
        <w:tabs>
          <w:tab w:val="left" w:pos="945"/>
          <w:tab w:val="left" w:pos="3150"/>
          <w:tab w:val="left" w:pos="7875"/>
          <w:tab w:val="left" w:pos="8505"/>
        </w:tabs>
        <w:kinsoku/>
        <w:wordWrap/>
        <w:overflowPunct/>
        <w:topLinePunct w:val="0"/>
        <w:autoSpaceDE/>
        <w:autoSpaceDN/>
        <w:bidi w:val="0"/>
        <w:adjustRightInd w:val="0"/>
        <w:snapToGrid w:val="0"/>
        <w:jc w:val="center"/>
        <w:textAlignment w:val="baseline"/>
        <w:rPr>
          <w:rFonts w:hint="eastAsia" w:ascii="方正小标宋简体" w:eastAsia="方正小标宋简体"/>
          <w:sz w:val="44"/>
        </w:rPr>
      </w:pPr>
      <w:r>
        <w:rPr>
          <w:rFonts w:hint="eastAsia" w:ascii="方正小标宋简体" w:eastAsia="方正小标宋简体"/>
          <w:sz w:val="44"/>
        </w:rPr>
        <w:t>201</w:t>
      </w:r>
      <w:r>
        <w:rPr>
          <w:rFonts w:hint="eastAsia" w:ascii="方正小标宋简体" w:eastAsia="方正小标宋简体"/>
          <w:sz w:val="44"/>
          <w:lang w:val="en-US" w:eastAsia="zh-CN"/>
        </w:rPr>
        <w:t>7</w:t>
      </w:r>
      <w:r>
        <w:rPr>
          <w:rFonts w:hint="eastAsia" w:ascii="方正小标宋简体" w:eastAsia="方正小标宋简体"/>
          <w:sz w:val="44"/>
        </w:rPr>
        <w:t>年度</w:t>
      </w:r>
      <w:r>
        <w:rPr>
          <w:rFonts w:hint="eastAsia" w:ascii="方正小标宋简体" w:eastAsia="方正小标宋简体"/>
          <w:sz w:val="44"/>
          <w:lang w:eastAsia="zh-CN"/>
        </w:rPr>
        <w:t>财务收支</w:t>
      </w:r>
      <w:r>
        <w:rPr>
          <w:rFonts w:hint="eastAsia" w:ascii="方正小标宋简体" w:eastAsia="方正小标宋简体"/>
          <w:sz w:val="44"/>
        </w:rPr>
        <w:t>审计结果</w:t>
      </w:r>
    </w:p>
    <w:p>
      <w:pPr>
        <w:rPr>
          <w:rFonts w:hAnsi="宋体" w:eastAsia="楷体_GB2312"/>
          <w:lang w:val="en-US"/>
        </w:rPr>
      </w:pPr>
      <w:r>
        <w:rPr>
          <w:rFonts w:hint="eastAsia" w:hAnsi="宋体" w:eastAsia="楷体_GB2312"/>
        </w:rPr>
        <w:t xml:space="preserve">              </w:t>
      </w:r>
      <w:r>
        <w:rPr>
          <w:rFonts w:hint="eastAsia" w:hAnsi="宋体" w:eastAsia="楷体_GB2312"/>
          <w:lang w:val="en-US" w:eastAsia="zh-CN"/>
        </w:rPr>
        <w:t xml:space="preserve"> </w:t>
      </w:r>
    </w:p>
    <w:p>
      <w:pPr>
        <w:ind w:firstLine="640" w:firstLineChars="200"/>
        <w:rPr>
          <w:rFonts w:hint="eastAsia" w:ascii="仿宋_GB2312"/>
          <w:lang w:eastAsia="zh-CN"/>
        </w:rPr>
      </w:pPr>
      <w:r>
        <w:rPr>
          <w:rFonts w:hint="eastAsia" w:ascii="仿宋_GB2312"/>
          <w:lang w:eastAsia="zh-CN"/>
        </w:rPr>
        <w:t>根据《中华人民共和国审计法》第十九条的规定，濮阳县审计局成立审计组，自201</w:t>
      </w:r>
      <w:r>
        <w:rPr>
          <w:rFonts w:hint="eastAsia" w:ascii="仿宋_GB2312"/>
          <w:lang w:val="en-US" w:eastAsia="zh-CN"/>
        </w:rPr>
        <w:t>8</w:t>
      </w:r>
      <w:r>
        <w:rPr>
          <w:rFonts w:hint="eastAsia" w:ascii="仿宋_GB2312"/>
          <w:lang w:eastAsia="zh-CN"/>
        </w:rPr>
        <w:t>年</w:t>
      </w:r>
      <w:r>
        <w:rPr>
          <w:rFonts w:hint="eastAsia" w:ascii="仿宋_GB2312"/>
          <w:lang w:val="en-US" w:eastAsia="zh-CN"/>
        </w:rPr>
        <w:t>7</w:t>
      </w:r>
      <w:r>
        <w:rPr>
          <w:rFonts w:hint="eastAsia" w:ascii="仿宋_GB2312"/>
          <w:lang w:eastAsia="zh-CN"/>
        </w:rPr>
        <w:t>月</w:t>
      </w:r>
      <w:r>
        <w:rPr>
          <w:rFonts w:hint="eastAsia" w:ascii="仿宋_GB2312"/>
          <w:lang w:val="en-US" w:eastAsia="zh-CN"/>
        </w:rPr>
        <w:t>10</w:t>
      </w:r>
      <w:r>
        <w:rPr>
          <w:rFonts w:hint="eastAsia" w:ascii="仿宋_GB2312"/>
          <w:lang w:eastAsia="zh-CN"/>
        </w:rPr>
        <w:t>日至</w:t>
      </w:r>
      <w:r>
        <w:rPr>
          <w:rFonts w:hint="eastAsia" w:ascii="仿宋_GB2312"/>
          <w:lang w:val="en-US" w:eastAsia="zh-CN"/>
        </w:rPr>
        <w:t>12</w:t>
      </w:r>
      <w:r>
        <w:rPr>
          <w:rFonts w:hint="eastAsia" w:ascii="仿宋_GB2312"/>
          <w:lang w:eastAsia="zh-CN"/>
        </w:rPr>
        <w:t>月</w:t>
      </w:r>
      <w:r>
        <w:rPr>
          <w:rFonts w:hint="eastAsia" w:ascii="仿宋_GB2312"/>
          <w:lang w:val="en-US" w:eastAsia="zh-CN"/>
        </w:rPr>
        <w:t>17</w:t>
      </w:r>
      <w:r>
        <w:rPr>
          <w:rFonts w:hint="eastAsia" w:ascii="仿宋_GB2312"/>
          <w:lang w:eastAsia="zh-CN"/>
        </w:rPr>
        <w:t>日，对濮阳县公路管理局201</w:t>
      </w:r>
      <w:r>
        <w:rPr>
          <w:rFonts w:hint="eastAsia" w:ascii="仿宋_GB2312"/>
          <w:lang w:val="en-US" w:eastAsia="zh-CN"/>
        </w:rPr>
        <w:t>7</w:t>
      </w:r>
      <w:r>
        <w:rPr>
          <w:rFonts w:hint="eastAsia" w:ascii="仿宋_GB2312"/>
          <w:lang w:eastAsia="zh-CN"/>
        </w:rPr>
        <w:t>年度财务收支情况进行了送达审计，对重要事项进行了必要的延伸和追朔。濮阳县公路管理局做出书面承诺，对其提供的财务会计资料以及其他相关资料的真实性和完整性负责。濮阳县审计局的责任是依法独立实施审计并出具审计报告。</w:t>
      </w:r>
    </w:p>
    <w:p>
      <w:pPr>
        <w:ind w:firstLine="643" w:firstLineChars="200"/>
        <w:rPr>
          <w:rFonts w:hint="eastAsia" w:ascii="仿宋_GB2312"/>
          <w:b/>
          <w:bCs/>
          <w:lang w:eastAsia="zh-CN"/>
        </w:rPr>
      </w:pPr>
      <w:r>
        <w:rPr>
          <w:rFonts w:hint="eastAsia" w:ascii="黑体" w:hAnsi="黑体" w:eastAsia="黑体" w:cs="黑体"/>
          <w:b/>
          <w:bCs/>
          <w:lang w:eastAsia="zh-CN"/>
        </w:rPr>
        <w:t>一、被审计单位基本情况</w:t>
      </w:r>
    </w:p>
    <w:p>
      <w:pPr>
        <w:ind w:firstLine="640" w:firstLineChars="200"/>
        <w:rPr>
          <w:rFonts w:hint="eastAsia" w:ascii="仿宋_GB2312"/>
          <w:lang w:eastAsia="zh-CN"/>
        </w:rPr>
      </w:pPr>
      <w:r>
        <w:rPr>
          <w:rFonts w:hint="eastAsia" w:ascii="仿宋_GB2312"/>
          <w:lang w:eastAsia="zh-CN"/>
        </w:rPr>
        <w:t>濮阳县公路管理局属市、县双层领导的事业单位。内设办公室、人事股、财务股、养护股、监审股、路政管理大队、工程管理股职能股室，共有干部职工</w:t>
      </w:r>
      <w:r>
        <w:rPr>
          <w:rFonts w:hint="eastAsia" w:ascii="仿宋_GB2312"/>
          <w:lang w:val="en-US" w:eastAsia="zh-CN"/>
        </w:rPr>
        <w:t>316</w:t>
      </w:r>
      <w:r>
        <w:rPr>
          <w:rFonts w:hint="eastAsia" w:ascii="仿宋_GB2312"/>
          <w:lang w:eastAsia="zh-CN"/>
        </w:rPr>
        <w:t>人，事业编制人数为48人，离退休人员1</w:t>
      </w:r>
      <w:r>
        <w:rPr>
          <w:rFonts w:hint="eastAsia" w:ascii="仿宋_GB2312"/>
          <w:lang w:val="en-US" w:eastAsia="zh-CN"/>
        </w:rPr>
        <w:t>40</w:t>
      </w:r>
      <w:r>
        <w:rPr>
          <w:rFonts w:hint="eastAsia" w:ascii="仿宋_GB2312"/>
          <w:lang w:eastAsia="zh-CN"/>
        </w:rPr>
        <w:t>人。下辖养护专业队和城关、八里庄、清河头、海通、八公桥、庆祖、土岭头、文留八个养护道班。主要职能：负责全县境内国道、省道及主要县道改建、大修、管理、养护工作；负责所辖公路路政管理工作，依法维护路产、路权及沿线公路设施不受侵犯，确保公路畅通。</w:t>
      </w:r>
    </w:p>
    <w:p>
      <w:pPr>
        <w:ind w:firstLine="640" w:firstLineChars="200"/>
        <w:rPr>
          <w:rFonts w:hint="eastAsia" w:ascii="仿宋_GB2312"/>
          <w:lang w:eastAsia="zh-CN"/>
        </w:rPr>
      </w:pPr>
      <w:r>
        <w:rPr>
          <w:rFonts w:hint="eastAsia" w:ascii="仿宋_GB2312"/>
          <w:lang w:eastAsia="zh-CN"/>
        </w:rPr>
        <w:t>审计结果表明：濮阳县公路管理局提供的账表数据与审计组依照现行的会计制度和财务收支的规定进行审计后认定的数据基本相符，该单位的会计资料基本真实，财务收支基本符合财经法规的规定，在对该单位财务收支审计中依然发现了一些违法违规问题，如：</w:t>
      </w:r>
      <w:r>
        <w:rPr>
          <w:rFonts w:hint="eastAsia" w:ascii="仿宋_GB2312"/>
          <w:lang w:val="en-US" w:eastAsia="zh-CN"/>
        </w:rPr>
        <w:t>应缴未缴个人社会保险金</w:t>
      </w:r>
      <w:r>
        <w:rPr>
          <w:rFonts w:hint="eastAsia" w:ascii="仿宋_GB2312"/>
          <w:lang w:eastAsia="zh-CN"/>
        </w:rPr>
        <w:t>、</w:t>
      </w:r>
      <w:bookmarkStart w:id="3" w:name="_GoBack"/>
      <w:bookmarkEnd w:id="3"/>
      <w:r>
        <w:rPr>
          <w:rFonts w:hint="eastAsia" w:ascii="仿宋_GB2312"/>
          <w:lang w:val="en-US" w:eastAsia="zh-CN"/>
        </w:rPr>
        <w:t>应入未入固定资产</w:t>
      </w:r>
      <w:r>
        <w:rPr>
          <w:rFonts w:hint="eastAsia" w:ascii="仿宋_GB2312"/>
          <w:lang w:eastAsia="zh-CN"/>
        </w:rPr>
        <w:t>、</w:t>
      </w:r>
      <w:r>
        <w:rPr>
          <w:rFonts w:hint="eastAsia" w:ascii="仿宋_GB2312"/>
          <w:lang w:val="en-US" w:eastAsia="zh-CN"/>
        </w:rPr>
        <w:t>未经审核的原始凭证列支费用的</w:t>
      </w:r>
      <w:r>
        <w:rPr>
          <w:rFonts w:hint="eastAsia" w:ascii="仿宋_GB2312"/>
          <w:lang w:eastAsia="zh-CN"/>
        </w:rPr>
        <w:t>问题需要进一步改善。现将审计结果公示如下：</w:t>
      </w:r>
    </w:p>
    <w:p>
      <w:pPr>
        <w:ind w:firstLine="643" w:firstLineChars="200"/>
        <w:rPr>
          <w:rFonts w:hint="eastAsia" w:ascii="仿宋_GB2312"/>
          <w:b/>
          <w:bCs/>
          <w:lang w:eastAsia="zh-CN"/>
        </w:rPr>
      </w:pPr>
      <w:r>
        <w:rPr>
          <w:rFonts w:hint="eastAsia" w:ascii="黑体" w:hAnsi="黑体" w:eastAsia="黑体" w:cs="黑体"/>
          <w:b/>
          <w:bCs/>
          <w:lang w:eastAsia="zh-CN"/>
        </w:rPr>
        <w:t>二、审计查出的主要问题和处理意见</w:t>
      </w:r>
    </w:p>
    <w:p>
      <w:pPr>
        <w:ind w:firstLine="640" w:firstLineChars="200"/>
        <w:rPr>
          <w:rFonts w:hint="eastAsia" w:ascii="仿宋_GB2312"/>
          <w:lang w:val="en-US" w:eastAsia="zh-CN"/>
        </w:rPr>
      </w:pPr>
      <w:r>
        <w:rPr>
          <w:rFonts w:hint="eastAsia" w:ascii="仿宋_GB2312"/>
          <w:lang w:val="en-US" w:eastAsia="zh-CN"/>
        </w:rPr>
        <w:t>（一）应缴未缴个人社会保险金796117.12元</w:t>
      </w:r>
    </w:p>
    <w:p>
      <w:pPr>
        <w:ind w:firstLine="640" w:firstLineChars="200"/>
        <w:rPr>
          <w:rFonts w:hint="eastAsia" w:ascii="仿宋_GB2312"/>
          <w:lang w:val="en-US" w:eastAsia="zh-CN"/>
        </w:rPr>
      </w:pPr>
      <w:r>
        <w:rPr>
          <w:rFonts w:hint="eastAsia" w:ascii="仿宋_GB2312"/>
          <w:lang w:val="en-US" w:eastAsia="zh-CN"/>
        </w:rPr>
        <w:t>（二）应入未入固定资产39430元</w:t>
      </w:r>
    </w:p>
    <w:p>
      <w:pPr>
        <w:ind w:firstLine="640" w:firstLineChars="200"/>
        <w:rPr>
          <w:rFonts w:hint="eastAsia" w:ascii="仿宋_GB2312"/>
          <w:lang w:val="en-US" w:eastAsia="zh-CN"/>
        </w:rPr>
      </w:pPr>
      <w:r>
        <w:rPr>
          <w:rFonts w:hint="eastAsia" w:ascii="仿宋_GB2312"/>
          <w:lang w:val="en-US" w:eastAsia="zh-CN"/>
        </w:rPr>
        <w:t>（三）未经审核的原始凭证列支费用10600元</w:t>
      </w:r>
    </w:p>
    <w:p>
      <w:pPr>
        <w:ind w:firstLine="643" w:firstLineChars="200"/>
        <w:rPr>
          <w:rFonts w:hint="eastAsia" w:ascii="黑体" w:hAnsi="黑体" w:eastAsia="黑体" w:cs="黑体"/>
          <w:b/>
          <w:bCs/>
          <w:kern w:val="0"/>
          <w:szCs w:val="32"/>
        </w:rPr>
      </w:pPr>
      <w:r>
        <w:rPr>
          <w:rFonts w:hint="eastAsia" w:ascii="黑体" w:hAnsi="黑体" w:eastAsia="黑体" w:cs="黑体"/>
          <w:b/>
          <w:bCs/>
          <w:kern w:val="0"/>
          <w:szCs w:val="32"/>
        </w:rPr>
        <w:t>三、审计处理情况和建议</w:t>
      </w:r>
    </w:p>
    <w:p>
      <w:pPr>
        <w:ind w:firstLine="640" w:firstLineChars="200"/>
        <w:rPr>
          <w:rFonts w:hint="eastAsia" w:ascii="仿宋_GB2312" w:hAnsi="仿宋_GB2312" w:eastAsia="仿宋_GB2312" w:cs="仿宋_GB2312"/>
          <w:sz w:val="32"/>
          <w:szCs w:val="32"/>
          <w:lang w:eastAsia="zh-CN"/>
        </w:rPr>
      </w:pPr>
      <w:r>
        <w:rPr>
          <w:rFonts w:hint="eastAsia" w:ascii="仿宋_GB2312" w:hAnsi="Arial" w:cs="Arial"/>
          <w:kern w:val="0"/>
          <w:szCs w:val="32"/>
        </w:rPr>
        <w:t>对上述问题，濮阳县审计局已依法出具了审计报告、下达了审计决定书。</w:t>
      </w:r>
      <w:r>
        <w:rPr>
          <w:rFonts w:hint="eastAsia" w:ascii="仿宋_GB2312" w:hAnsi="仿宋_GB2312" w:cs="仿宋_GB2312"/>
          <w:sz w:val="32"/>
          <w:szCs w:val="32"/>
          <w:lang w:eastAsia="zh-CN"/>
        </w:rPr>
        <w:t>加强对入账原始凭证的审核，</w:t>
      </w:r>
      <w:r>
        <w:rPr>
          <w:rFonts w:hint="eastAsia" w:ascii="仿宋_GB2312" w:hAnsi="仿宋_GB2312" w:eastAsia="仿宋_GB2312" w:cs="仿宋_GB2312"/>
          <w:sz w:val="32"/>
          <w:szCs w:val="32"/>
        </w:rPr>
        <w:t>对不</w:t>
      </w:r>
      <w:r>
        <w:rPr>
          <w:rFonts w:hint="eastAsia" w:ascii="仿宋_GB2312" w:hAnsi="仿宋_GB2312" w:cs="仿宋_GB2312"/>
          <w:sz w:val="32"/>
          <w:szCs w:val="32"/>
          <w:lang w:eastAsia="zh-CN"/>
        </w:rPr>
        <w:t>符合规定、手续不齐全</w:t>
      </w:r>
      <w:r>
        <w:rPr>
          <w:rFonts w:hint="eastAsia" w:ascii="仿宋_GB2312" w:hAnsi="仿宋_GB2312" w:eastAsia="仿宋_GB2312" w:cs="仿宋_GB2312"/>
          <w:sz w:val="32"/>
          <w:szCs w:val="32"/>
        </w:rPr>
        <w:t>的发票不</w:t>
      </w:r>
      <w:r>
        <w:rPr>
          <w:rFonts w:hint="eastAsia" w:ascii="仿宋_GB2312" w:hAnsi="仿宋_GB2312" w:cs="仿宋_GB2312"/>
          <w:sz w:val="32"/>
          <w:szCs w:val="32"/>
          <w:lang w:eastAsia="zh-CN"/>
        </w:rPr>
        <w:t>予报销</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加强对</w:t>
      </w:r>
      <w:r>
        <w:rPr>
          <w:rFonts w:hint="eastAsia" w:ascii="仿宋_GB2312" w:hAnsi="仿宋_GB2312" w:eastAsia="仿宋_GB2312" w:cs="仿宋_GB2312"/>
          <w:sz w:val="32"/>
          <w:szCs w:val="32"/>
          <w:lang w:eastAsia="zh-CN"/>
        </w:rPr>
        <w:t>购入的固定资产及时登记入账</w:t>
      </w:r>
      <w:r>
        <w:rPr>
          <w:rFonts w:hint="eastAsia" w:ascii="仿宋_GB2312" w:hAnsi="仿宋_GB2312" w:cs="仿宋_GB2312"/>
          <w:sz w:val="32"/>
          <w:szCs w:val="32"/>
          <w:lang w:eastAsia="zh-CN"/>
        </w:rPr>
        <w:t>，</w:t>
      </w:r>
      <w:r>
        <w:rPr>
          <w:rFonts w:hint="eastAsia" w:ascii="仿宋_GB2312" w:hAnsi="宋体" w:cs="宋体"/>
          <w:bCs/>
          <w:lang w:val="en-US" w:eastAsia="zh-CN"/>
        </w:rPr>
        <w:t>保证资产安全完整，防止国有资产流失。</w:t>
      </w:r>
    </w:p>
    <w:p>
      <w:pPr>
        <w:ind w:firstLine="643" w:firstLineChars="200"/>
        <w:rPr>
          <w:rFonts w:hint="eastAsia" w:ascii="黑体" w:hAnsi="黑体" w:eastAsia="黑体" w:cs="黑体"/>
          <w:b/>
          <w:bCs/>
          <w:kern w:val="0"/>
          <w:szCs w:val="32"/>
        </w:rPr>
      </w:pPr>
      <w:r>
        <w:rPr>
          <w:rFonts w:hint="eastAsia" w:ascii="黑体" w:hAnsi="黑体" w:eastAsia="黑体" w:cs="黑体"/>
          <w:b/>
          <w:bCs/>
          <w:kern w:val="0"/>
          <w:szCs w:val="32"/>
        </w:rPr>
        <w:t>四、审计发现问题的整改情况</w:t>
      </w:r>
    </w:p>
    <w:p>
      <w:r>
        <w:rPr>
          <w:rFonts w:hint="eastAsia" w:ascii="仿宋_GB2312" w:hAnsi="Arial" w:cs="Arial"/>
          <w:color w:val="auto"/>
          <w:kern w:val="0"/>
          <w:szCs w:val="32"/>
        </w:rPr>
        <w:t>对审计发现的问题，</w:t>
      </w:r>
      <w:r>
        <w:rPr>
          <w:rFonts w:hint="eastAsia" w:ascii="仿宋_GB2312" w:hAnsi="Arial" w:cs="Arial"/>
          <w:color w:val="auto"/>
          <w:kern w:val="0"/>
          <w:szCs w:val="32"/>
          <w:lang w:eastAsia="zh-CN"/>
        </w:rPr>
        <w:t>濮阳县公路管理局</w:t>
      </w:r>
      <w:r>
        <w:rPr>
          <w:rFonts w:hint="eastAsia" w:ascii="仿宋_GB2312" w:hAnsi="Arial" w:cs="Arial"/>
          <w:color w:val="auto"/>
          <w:kern w:val="0"/>
          <w:szCs w:val="32"/>
        </w:rPr>
        <w:t>正在组织整改。具体整改结果由</w:t>
      </w:r>
      <w:r>
        <w:rPr>
          <w:rFonts w:hint="eastAsia" w:ascii="仿宋_GB2312" w:hAnsi="Arial" w:cs="Arial"/>
          <w:color w:val="auto"/>
          <w:kern w:val="0"/>
          <w:szCs w:val="32"/>
          <w:lang w:eastAsia="zh-CN"/>
        </w:rPr>
        <w:t>濮阳县公路管理局</w:t>
      </w:r>
      <w:r>
        <w:rPr>
          <w:rFonts w:hint="eastAsia" w:ascii="仿宋_GB2312" w:hAnsi="Arial" w:cs="Arial"/>
          <w:color w:val="auto"/>
          <w:kern w:val="0"/>
          <w:szCs w:val="32"/>
        </w:rPr>
        <w:t>向社会公告。</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hint="eastAsia"/>
      </w:rPr>
    </w:pPr>
    <w:r>
      <w:rPr>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777F5"/>
    <w:rsid w:val="01F2747C"/>
    <w:rsid w:val="09027237"/>
    <w:rsid w:val="0C4777F5"/>
    <w:rsid w:val="0C69622A"/>
    <w:rsid w:val="12FA58A1"/>
    <w:rsid w:val="4CCA4CE0"/>
    <w:rsid w:val="4E390722"/>
    <w:rsid w:val="5D9976B9"/>
    <w:rsid w:val="6A502B2E"/>
    <w:rsid w:val="6D150EE4"/>
    <w:rsid w:val="71800267"/>
    <w:rsid w:val="76065E4E"/>
    <w:rsid w:val="7B6929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eastAsia="仿宋_GB2312" w:asciiTheme="minorHAnsi" w:hAnsiTheme="minorHAnsi" w:cstheme="minorBidi"/>
      <w:sz w:val="32"/>
      <w:szCs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一、正文一级小标题"/>
    <w:basedOn w:val="1"/>
    <w:next w:val="1"/>
    <w:qFormat/>
    <w:uiPriority w:val="0"/>
    <w:pPr>
      <w:snapToGrid w:val="0"/>
      <w:spacing w:line="579" w:lineRule="exact"/>
      <w:ind w:firstLine="790" w:firstLineChars="250"/>
      <w:outlineLvl w:val="1"/>
    </w:pPr>
    <w:rPr>
      <w:rFonts w:ascii="仿宋_GB2312"/>
      <w:b/>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2018-12-19T02:45:00Z</dcterms:created>
  <dc:creator>Administrator</dc:creator>
  <cp:lastModifiedBy>Administrator</cp:lastModifiedBy>
  <cp:lastPrinted>2018-12-28T01:04:14Z</cp:lastPrinted>
  <dcterms:modified xsi:type="dcterms:W3CDTF">2018-12-28T01:04:29Z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