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tbl>
      <w:tblPr>
        <w:tblStyle w:val="4"/>
        <w:tblpPr w:leftFromText="180" w:rightFromText="180" w:vertAnchor="page" w:horzAnchor="page" w:tblpX="1551" w:tblpY="1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61"/>
        <w:gridCol w:w="1116"/>
        <w:gridCol w:w="1100"/>
        <w:gridCol w:w="1250"/>
        <w:gridCol w:w="1734"/>
        <w:gridCol w:w="58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8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6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11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建设地点</w:t>
            </w:r>
          </w:p>
        </w:tc>
        <w:tc>
          <w:tcPr>
            <w:tcW w:w="110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建设单位</w:t>
            </w:r>
          </w:p>
        </w:tc>
        <w:tc>
          <w:tcPr>
            <w:tcW w:w="125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环境影响评价机构</w:t>
            </w:r>
          </w:p>
        </w:tc>
        <w:tc>
          <w:tcPr>
            <w:tcW w:w="173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建设项目概况</w:t>
            </w:r>
          </w:p>
        </w:tc>
        <w:tc>
          <w:tcPr>
            <w:tcW w:w="585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主要环境影响及预防或减轻不良环境影响的对策和措施</w:t>
            </w:r>
          </w:p>
        </w:tc>
        <w:tc>
          <w:tcPr>
            <w:tcW w:w="10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2" w:hRule="atLeast"/>
        </w:trPr>
        <w:tc>
          <w:tcPr>
            <w:tcW w:w="684"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061"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濮阳县众合加油站</w:t>
            </w:r>
          </w:p>
        </w:tc>
        <w:tc>
          <w:tcPr>
            <w:tcW w:w="1116"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濮阳市濮阳县八公桥镇山王寨村北106国道与汇源大道交叉口西约300米路南</w:t>
            </w:r>
          </w:p>
        </w:tc>
        <w:tc>
          <w:tcPr>
            <w:tcW w:w="1100"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濮阳县众合加油站</w:t>
            </w:r>
          </w:p>
        </w:tc>
        <w:tc>
          <w:tcPr>
            <w:tcW w:w="1250"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河南省欣耀盈环保科技有限公司</w:t>
            </w:r>
          </w:p>
        </w:tc>
        <w:tc>
          <w:tcPr>
            <w:tcW w:w="1734"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项目为新建项目，总投资50万元，占地面积1538.74平方米，建筑面积402.5平方米，建设内容主要为罩棚、站房。项目建成后预计年销售汽油 200t、柴油150t。</w:t>
            </w:r>
          </w:p>
          <w:p>
            <w:pPr>
              <w:jc w:val="both"/>
              <w:rPr>
                <w:rFonts w:hint="eastAsia" w:ascii="宋体" w:hAnsi="宋体" w:eastAsia="宋体" w:cs="宋体"/>
                <w:sz w:val="24"/>
                <w:lang w:val="en-US" w:eastAsia="zh-CN"/>
              </w:rPr>
            </w:pPr>
          </w:p>
        </w:tc>
        <w:tc>
          <w:tcPr>
            <w:tcW w:w="5855"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b/>
                <w:bCs/>
                <w:sz w:val="24"/>
                <w:lang w:val="en-US" w:eastAsia="zh-CN"/>
              </w:rPr>
              <w:t>废气：</w:t>
            </w:r>
            <w:r>
              <w:rPr>
                <w:rFonts w:hint="eastAsia" w:ascii="宋体" w:hAnsi="宋体" w:eastAsia="宋体" w:cs="宋体"/>
                <w:sz w:val="24"/>
                <w:lang w:val="en-US" w:eastAsia="zh-CN"/>
              </w:rPr>
              <w:t>主要为卸油废气、储油废气、加油作业废气以及汽车尾气。卸油废气和加油作业废气经油气回收装置处理后，通过集中放散管放散；储油废气采取加强厂区绿化措施后对周边环境影响较小，汽车尾气采取加强周边绿化等措施。经采取相应措施后，非甲烷总烃满足《河南省环境污染防治攻坚战领导小组办公室关于全省开展工业企业挥发性有机物专项治理工作中排放建议值的通知》（豫环攻坚办[2017]162 号）中工业企业挥发性有机物排放标准要求。</w:t>
            </w:r>
          </w:p>
          <w:p>
            <w:pPr>
              <w:jc w:val="both"/>
              <w:rPr>
                <w:rFonts w:hint="eastAsia" w:ascii="宋体" w:hAnsi="宋体" w:eastAsia="宋体" w:cs="宋体"/>
                <w:sz w:val="24"/>
                <w:lang w:val="en-US" w:eastAsia="zh-CN"/>
              </w:rPr>
            </w:pPr>
            <w:r>
              <w:rPr>
                <w:rFonts w:hint="eastAsia" w:ascii="宋体" w:hAnsi="宋体" w:eastAsia="宋体" w:cs="宋体"/>
                <w:b/>
                <w:bCs/>
                <w:sz w:val="24"/>
                <w:lang w:val="en-US" w:eastAsia="zh-CN"/>
              </w:rPr>
              <w:t>废水：</w:t>
            </w:r>
            <w:r>
              <w:rPr>
                <w:rFonts w:hint="eastAsia" w:ascii="宋体" w:hAnsi="宋体" w:eastAsia="宋体" w:cs="宋体"/>
                <w:sz w:val="24"/>
                <w:lang w:val="en-US" w:eastAsia="zh-CN"/>
              </w:rPr>
              <w:t>主要为职工、顾客员工生活污水以及油罐清洗废水，生活污水经化粪池沉淀后沤制农家肥，不外排。油罐清洗废水由有资质单位回收。</w:t>
            </w:r>
          </w:p>
          <w:p>
            <w:pPr>
              <w:jc w:val="both"/>
              <w:rPr>
                <w:rFonts w:hint="eastAsia" w:ascii="宋体" w:hAnsi="宋体" w:eastAsia="宋体" w:cs="宋体"/>
                <w:sz w:val="24"/>
                <w:lang w:val="en-US" w:eastAsia="zh-CN"/>
              </w:rPr>
            </w:pPr>
            <w:r>
              <w:rPr>
                <w:rFonts w:hint="eastAsia" w:ascii="宋体" w:hAnsi="宋体" w:eastAsia="宋体" w:cs="宋体"/>
                <w:b/>
                <w:bCs/>
                <w:sz w:val="24"/>
                <w:lang w:val="en-US" w:eastAsia="zh-CN"/>
              </w:rPr>
              <w:t>噪声：</w:t>
            </w:r>
            <w:r>
              <w:rPr>
                <w:rFonts w:hint="eastAsia" w:ascii="宋体" w:hAnsi="宋体" w:eastAsia="宋体" w:cs="宋体"/>
                <w:sz w:val="24"/>
                <w:lang w:val="en-US" w:eastAsia="zh-CN"/>
              </w:rPr>
              <w:t>主要为加油机、潜油泵、加油车辆等产生的噪声，通过基础减震等措施后，项目厂界噪声满足《工业企业厂界环境噪声排放标准》（GB12348-2008）2类标准要求。</w:t>
            </w:r>
          </w:p>
          <w:p>
            <w:pPr>
              <w:jc w:val="both"/>
              <w:rPr>
                <w:rFonts w:hint="eastAsia" w:ascii="宋体" w:hAnsi="宋体" w:eastAsia="宋体" w:cs="宋体"/>
                <w:sz w:val="24"/>
                <w:lang w:val="en-US" w:eastAsia="zh-CN"/>
              </w:rPr>
            </w:pPr>
            <w:r>
              <w:rPr>
                <w:rFonts w:hint="eastAsia" w:ascii="宋体" w:hAnsi="宋体" w:eastAsia="宋体" w:cs="宋体"/>
                <w:b/>
                <w:bCs/>
                <w:sz w:val="24"/>
                <w:lang w:val="en-US" w:eastAsia="zh-CN"/>
              </w:rPr>
              <w:t>固体废物：</w:t>
            </w:r>
            <w:r>
              <w:rPr>
                <w:rFonts w:hint="eastAsia" w:ascii="宋体" w:hAnsi="宋体" w:eastAsia="宋体" w:cs="宋体"/>
                <w:sz w:val="24"/>
                <w:lang w:val="en-US" w:eastAsia="zh-CN"/>
              </w:rPr>
              <w:t>危险废物清罐油泥委托有资质的单位清理油罐并且回收清罐油泥，本站点不负责存放。危险废物含油废砂由有资质单位回收，加油站不负责存放。职工、顾客生活垃圾集中收集，由环卫部门清理。</w:t>
            </w:r>
          </w:p>
        </w:tc>
        <w:tc>
          <w:tcPr>
            <w:tcW w:w="1058" w:type="dxa"/>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w:t>
            </w:r>
          </w:p>
        </w:tc>
      </w:tr>
    </w:tbl>
    <w:p>
      <w:pPr>
        <w:rPr>
          <w:rFonts w:hint="default" w:eastAsiaTheme="minorEastAsia"/>
          <w:lang w:val="en-US" w:eastAsia="zh-CN"/>
        </w:rPr>
      </w:pPr>
      <w:r>
        <w:rPr>
          <w:rFonts w:hint="eastAsia"/>
          <w:lang w:val="en-US" w:eastAsia="zh-CN"/>
        </w:rPr>
        <w:t xml:space="preserve">                                                                                                                                                                                                                                                                                                                                                                                                                                                                                                                                                                                                                                                                                                                                                                                                                                                                                                                                                                                                                                                                                                                                                                                                                                                                                                                                                                                                                                                                                                                                                                                                                                                                                                                                                                                                                                                                                                                                                                                                                                                                                                                                                                                                                                                                                                                                                                                                                                                                                                                                                                                                                                                                                                                                                                                                                                                                                                                                                                                                                                                                                                                                                                                                                                                                                                                                                                                                                                                                                                                                                                                                                                                                                                                                                                                                                        </w:t>
      </w: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74440"/>
    <w:rsid w:val="01F34586"/>
    <w:rsid w:val="05BD2D93"/>
    <w:rsid w:val="05E25C2D"/>
    <w:rsid w:val="06317BFD"/>
    <w:rsid w:val="0AA146AE"/>
    <w:rsid w:val="10197A99"/>
    <w:rsid w:val="10683B09"/>
    <w:rsid w:val="1394529F"/>
    <w:rsid w:val="14220714"/>
    <w:rsid w:val="144C2BBC"/>
    <w:rsid w:val="15796CCF"/>
    <w:rsid w:val="157A1A68"/>
    <w:rsid w:val="17A364ED"/>
    <w:rsid w:val="186D1621"/>
    <w:rsid w:val="18FD26B7"/>
    <w:rsid w:val="19B84A3E"/>
    <w:rsid w:val="1B155944"/>
    <w:rsid w:val="1CA65FE4"/>
    <w:rsid w:val="1FC90393"/>
    <w:rsid w:val="20981AB4"/>
    <w:rsid w:val="2292607F"/>
    <w:rsid w:val="243F5F72"/>
    <w:rsid w:val="24CE26DF"/>
    <w:rsid w:val="28547BAD"/>
    <w:rsid w:val="28596BFB"/>
    <w:rsid w:val="2ABA7FA7"/>
    <w:rsid w:val="2FF74C02"/>
    <w:rsid w:val="30AE0427"/>
    <w:rsid w:val="33D34FBF"/>
    <w:rsid w:val="357A288D"/>
    <w:rsid w:val="37813CF9"/>
    <w:rsid w:val="3855465F"/>
    <w:rsid w:val="394670C1"/>
    <w:rsid w:val="39F074B1"/>
    <w:rsid w:val="3C970F11"/>
    <w:rsid w:val="3D427477"/>
    <w:rsid w:val="3E97429A"/>
    <w:rsid w:val="3F4141B0"/>
    <w:rsid w:val="444843FB"/>
    <w:rsid w:val="44876E6F"/>
    <w:rsid w:val="478A7E23"/>
    <w:rsid w:val="495859DD"/>
    <w:rsid w:val="49B210C8"/>
    <w:rsid w:val="49BD5A2A"/>
    <w:rsid w:val="4A8261AC"/>
    <w:rsid w:val="4D226A98"/>
    <w:rsid w:val="4E6A3849"/>
    <w:rsid w:val="4FE311A6"/>
    <w:rsid w:val="53317EFF"/>
    <w:rsid w:val="53DD21B8"/>
    <w:rsid w:val="551D3281"/>
    <w:rsid w:val="557B03D8"/>
    <w:rsid w:val="5742582B"/>
    <w:rsid w:val="58A8048C"/>
    <w:rsid w:val="58B22469"/>
    <w:rsid w:val="59C5780D"/>
    <w:rsid w:val="5A974440"/>
    <w:rsid w:val="5CFD5368"/>
    <w:rsid w:val="5E7779BC"/>
    <w:rsid w:val="619611E4"/>
    <w:rsid w:val="64C45ECB"/>
    <w:rsid w:val="64D36645"/>
    <w:rsid w:val="6523026E"/>
    <w:rsid w:val="65BF32E2"/>
    <w:rsid w:val="65DB2E74"/>
    <w:rsid w:val="670014EF"/>
    <w:rsid w:val="692D7ADB"/>
    <w:rsid w:val="6D535020"/>
    <w:rsid w:val="70265996"/>
    <w:rsid w:val="71896F98"/>
    <w:rsid w:val="73CB043E"/>
    <w:rsid w:val="73D9278B"/>
    <w:rsid w:val="755D2452"/>
    <w:rsid w:val="75A809C1"/>
    <w:rsid w:val="75DE05C0"/>
    <w:rsid w:val="76F46C91"/>
    <w:rsid w:val="771D0020"/>
    <w:rsid w:val="78A309B9"/>
    <w:rsid w:val="78AB1EEC"/>
    <w:rsid w:val="792B555B"/>
    <w:rsid w:val="79A30726"/>
    <w:rsid w:val="7C6C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uiPriority w:val="0"/>
    <w:pPr>
      <w:adjustRightInd w:val="0"/>
      <w:snapToGrid w:val="0"/>
      <w:spacing w:line="360" w:lineRule="auto"/>
      <w:ind w:firstLine="200" w:firstLineChars="200"/>
    </w:pPr>
    <w:rPr>
      <w:snapToGrid w:val="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table" w:customStyle="1" w:styleId="8">
    <w:name w:val="网格型6"/>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2018-04-28T10:02:00Z</dcterms:created>
  <dc:creator>安然</dc:creator>
  <cp:lastModifiedBy>杨萌</cp:lastModifiedBy>
  <dcterms:modified xsi:type="dcterms:W3CDTF">2020-12-28T02:22:09Z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