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1592" w:tblpY="2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61"/>
        <w:gridCol w:w="1116"/>
        <w:gridCol w:w="1100"/>
        <w:gridCol w:w="1250"/>
        <w:gridCol w:w="1734"/>
        <w:gridCol w:w="5855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建设地点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建设单位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环境影响评价机构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建设项目概况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主要环境影响及预防或减轻不良环境影响的对策和措施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7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濮阳县文南加油站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2"/>
                <w:lang w:val="zh-CN" w:eastAsia="zh-CN"/>
              </w:rPr>
              <w:t>濮阳市濮阳县文留镇齐庄Z016与无名路交叉口西北角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濮阳县文南加油站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autoSpaceDN w:val="0"/>
              <w:jc w:val="both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河南怡水源环保工程有限公司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项目占地面积4890.54m2，总投资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50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万元，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年销售汽油150 t/a，销售柴油350 t/a。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2"/>
                <w:lang w:val="en-US" w:eastAsia="zh-CN"/>
              </w:rPr>
              <w:t>废气：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项目产生的废气主要为储油、卸油、加油产生的废气。通过安装卸油及加油机加油油气回收装置，排放浓度能够达到《加油站大气污染物排放标准》（GB20952-2007）无组织标准要求，对周围环境的影响较小；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2"/>
                <w:lang w:val="en-US" w:eastAsia="zh-CN"/>
              </w:rPr>
              <w:t>噪声：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项目产生的噪声主要为设备噪声和进出车辆产生的噪声。通过选用低噪设备、合理布置产噪设备、封闭噪声源、采取减震、设置绿化带、悬挂限速禁鸣标志等措施处理后，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/>
              </w:rPr>
              <w:t>项目厂界噪声达到《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工业企业厂界环境噪声排放标准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/>
              </w:rPr>
              <w:t>》(GBl2348-2008)中2类标准要求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；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/>
              </w:rPr>
              <w:t>废水：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本项目产生的废水主要为员工的生活污水。生活污水经由化粪池处理后，作为肥料施于农田。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2"/>
                <w:lang w:val="en-US" w:eastAsia="zh-CN"/>
              </w:rPr>
              <w:t>固废：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含油污泥、含油废砂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委托有资质的单位负责统一处理，加油站不负责油罐油泥及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清洗跑冒滴漏的含油废砂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的存放处置；站内设垃圾收集箱，生活垃圾做到日产日清，及时运往垃圾中转站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。综上，项目产生的固体废物全部综合利用和合理处置，不会对周围环境产生影响。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/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74440"/>
    <w:rsid w:val="01F34586"/>
    <w:rsid w:val="05BD2D93"/>
    <w:rsid w:val="05E25C2D"/>
    <w:rsid w:val="06317BFD"/>
    <w:rsid w:val="0AA146AE"/>
    <w:rsid w:val="10197A99"/>
    <w:rsid w:val="10683B09"/>
    <w:rsid w:val="1394529F"/>
    <w:rsid w:val="14220714"/>
    <w:rsid w:val="144C2BBC"/>
    <w:rsid w:val="15796CCF"/>
    <w:rsid w:val="157A1A68"/>
    <w:rsid w:val="17A364ED"/>
    <w:rsid w:val="186D1621"/>
    <w:rsid w:val="19B84A3E"/>
    <w:rsid w:val="1B155944"/>
    <w:rsid w:val="1CA65FE4"/>
    <w:rsid w:val="1FC90393"/>
    <w:rsid w:val="20981AB4"/>
    <w:rsid w:val="2292607F"/>
    <w:rsid w:val="234201EB"/>
    <w:rsid w:val="243F5F72"/>
    <w:rsid w:val="24CE26DF"/>
    <w:rsid w:val="28547BAD"/>
    <w:rsid w:val="28596BFB"/>
    <w:rsid w:val="2ABA7FA7"/>
    <w:rsid w:val="2BF30724"/>
    <w:rsid w:val="2FF74C02"/>
    <w:rsid w:val="30AE0427"/>
    <w:rsid w:val="33D34FBF"/>
    <w:rsid w:val="357A288D"/>
    <w:rsid w:val="37813CF9"/>
    <w:rsid w:val="394670C1"/>
    <w:rsid w:val="39F074B1"/>
    <w:rsid w:val="3C0F6935"/>
    <w:rsid w:val="3C970F11"/>
    <w:rsid w:val="3D427477"/>
    <w:rsid w:val="3E97429A"/>
    <w:rsid w:val="3F4141B0"/>
    <w:rsid w:val="444843FB"/>
    <w:rsid w:val="44876E6F"/>
    <w:rsid w:val="478A7E23"/>
    <w:rsid w:val="495859DD"/>
    <w:rsid w:val="49B210C8"/>
    <w:rsid w:val="49BD5A2A"/>
    <w:rsid w:val="4A8261AC"/>
    <w:rsid w:val="4D226A98"/>
    <w:rsid w:val="4E6A3849"/>
    <w:rsid w:val="4FE311A6"/>
    <w:rsid w:val="53317EFF"/>
    <w:rsid w:val="53DD21B8"/>
    <w:rsid w:val="551D3281"/>
    <w:rsid w:val="557B03D8"/>
    <w:rsid w:val="5742582B"/>
    <w:rsid w:val="58A8048C"/>
    <w:rsid w:val="58B22469"/>
    <w:rsid w:val="59C5780D"/>
    <w:rsid w:val="5A974440"/>
    <w:rsid w:val="5CFD5368"/>
    <w:rsid w:val="5E7779BC"/>
    <w:rsid w:val="619611E4"/>
    <w:rsid w:val="64C45ECB"/>
    <w:rsid w:val="64D36645"/>
    <w:rsid w:val="6523026E"/>
    <w:rsid w:val="65BF32E2"/>
    <w:rsid w:val="65DB2E74"/>
    <w:rsid w:val="692D7ADB"/>
    <w:rsid w:val="6D535020"/>
    <w:rsid w:val="70265996"/>
    <w:rsid w:val="71896F98"/>
    <w:rsid w:val="73CB043E"/>
    <w:rsid w:val="73D9278B"/>
    <w:rsid w:val="755D2452"/>
    <w:rsid w:val="75A809C1"/>
    <w:rsid w:val="75DE05C0"/>
    <w:rsid w:val="76F46C91"/>
    <w:rsid w:val="771D0020"/>
    <w:rsid w:val="78A309B9"/>
    <w:rsid w:val="78AB1EEC"/>
    <w:rsid w:val="792B555B"/>
    <w:rsid w:val="795F4FED"/>
    <w:rsid w:val="7C6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bCs/>
      <w:sz w:val="28"/>
      <w:szCs w:val="2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(首行缩进)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napToGrid w:val="0"/>
      <w:kern w:val="0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table" w:customStyle="1" w:styleId="9">
    <w:name w:val="网格型6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2018-04-28T10:02:00Z</dcterms:created>
  <dc:creator>安然</dc:creator>
  <cp:lastModifiedBy>杨萌</cp:lastModifiedBy>
  <dcterms:modified xsi:type="dcterms:W3CDTF">2020-12-28T02:22:03Z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