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共青团濮阳县委</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共青团濮阳县委</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共青团濮阳县委</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（一）领导全县的共青团工作。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（二）领导全县青联、学联和少先队工作，对全县性青年社团组织实行指导和管理。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（三）参与制定青少年事业发展规划和青少年工作政策，对青少年活动阵地、青少年服务机构建设和青少年读物发行等事物进行规划和管理。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（四）参与有关青少年事务的法规调研及实施，协助党和政府处理、协调与青少年利益相关的事务。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（五）调查青年思想动态和青年工作状况，研究青少年运动、工作理论和思想教育问题，提出相应对策，开展各种活动。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（六）协助政府教育部门做好中、小学校的教育管理工作，维护学校稳定和社会安定团结。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（七）在全县经济建设中，组织和带领团员发挥生力军和突击队作用。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（八）负责与县外青少年团体、政府青年机构、国际地区性青年组织及其他友好团体的交流工作，负责青年对外宣传工作。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（九）参与制订县内有关青年统战工作的政策，做好青年统战对象的团结教育工作，维护和促进祖国统一和和民族团结。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（十）承担县委、县政府和团市委交办的有关事项。</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共青团濮阳县委内设机构2个，包括：办公室、组织宣传部。另设有二级单位濮阳县实施希望工程办公室。</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 w:hAnsi="仿宋" w:eastAsia="仿宋" w:cs="仿宋"/>
          <w:sz w:val="32"/>
          <w:szCs w:val="32"/>
        </w:rPr>
        <w:t>纳入濮阳县财政局 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年度部门决算编制范围的单位包括：</w:t>
      </w:r>
      <w:r>
        <w:rPr>
          <w:rFonts w:hint="eastAsia" w:ascii="仿宋_GB2312" w:hAnsi="仿宋_GB2312" w:eastAsia="仿宋_GB2312" w:cs="仿宋_GB2312"/>
          <w:color w:val="auto"/>
          <w:kern w:val="0"/>
          <w:sz w:val="32"/>
          <w:szCs w:val="32"/>
          <w:highlight w:val="none"/>
          <w:lang w:val="en-US" w:eastAsia="zh-CN"/>
        </w:rPr>
        <w:t>共青团濮阳县委本级决算。濮阳县实施希望工程办公室没有独立账户，不涉及部门决算，</w:t>
      </w:r>
      <w:r>
        <w:rPr>
          <w:rFonts w:hint="eastAsia" w:ascii="仿宋" w:hAnsi="仿宋" w:eastAsia="仿宋" w:cs="仿宋"/>
          <w:color w:val="000000"/>
          <w:sz w:val="32"/>
          <w:szCs w:val="32"/>
        </w:rPr>
        <w:t>本级决算即汇总决算。</w:t>
      </w:r>
    </w:p>
    <w:p>
      <w:pPr>
        <w:widowControl/>
        <w:ind w:firstLine="560" w:firstLineChars="200"/>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880"/>
        <w:gridCol w:w="3350"/>
        <w:gridCol w:w="1600"/>
        <w:gridCol w:w="1600"/>
        <w:gridCol w:w="1600"/>
        <w:gridCol w:w="1599"/>
        <w:gridCol w:w="1600"/>
        <w:gridCol w:w="1599"/>
        <w:gridCol w:w="1600"/>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03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639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65"/>
        <w:gridCol w:w="264"/>
        <w:gridCol w:w="268"/>
        <w:gridCol w:w="4995"/>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26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68"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99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983"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97"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9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84.57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405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438"/>
        <w:gridCol w:w="2436"/>
      </w:tblGrid>
      <w:tr>
        <w:tblPrEx>
          <w:shd w:val="clear" w:color="auto" w:fill="auto"/>
          <w:tblCellMar>
            <w:top w:w="0" w:type="dxa"/>
            <w:left w:w="0" w:type="dxa"/>
            <w:bottom w:w="0" w:type="dxa"/>
            <w:right w:w="0" w:type="dxa"/>
          </w:tblCellMar>
        </w:tblPrEx>
        <w:trPr>
          <w:trHeight w:val="390"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40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84.57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2952"/>
        <w:gridCol w:w="1508"/>
        <w:gridCol w:w="616"/>
        <w:gridCol w:w="2324"/>
        <w:gridCol w:w="1508"/>
        <w:gridCol w:w="615"/>
        <w:gridCol w:w="3782"/>
        <w:gridCol w:w="1508"/>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973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77.29</w:t>
            </w:r>
          </w:p>
        </w:tc>
        <w:tc>
          <w:tcPr>
            <w:tcW w:w="88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2018年度收、支总计均为139.57万元。与上年度相比，收、支总计各增加18.45万元，增长15.2%。主要原因是人员增资，社保缴费基数增加、专项活动经费增加。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2018年度收入合计139.57万元，其中：财政拨款收入139.57万元，占100%。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2018年度支出合计139.57万元，其中：基本支出84.57万元，占60.6%；项目支出55万元，占39.4%。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2018年度财政拨款收、支总计均为139.57万元。与上年度相比，财政拨款收、支总计各增加18.45万元，增长15.2%。主要原因是人员增资。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2018年度一般公共预算财政拨款支出139.57万元，占本年支出合计的100%。与上年度相比，一般公共预算财政拨款支出增加18.45万元，增长15.2%。主要原因是人员增资，社保缴费基数增加、专项活动经费增加。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2018年度一般公共预算财政拨款支出139.57万元，主要用于以下方面：一般公共服务（类）支出129.48万元，占92.8%；社会保障和就业支出7.05万元，占5.1%；医疗卫生与计划生育支出3.04，占2.1%。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2018年度一般公共预算财政拨款支出年初预算为119.62万元，支出决算为139.57万元，完成年初预算的117%。其中：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1．一般公共服务（类）群众团体事务（款）行政运行 （项）。</w:t>
      </w:r>
      <w:r>
        <w:rPr>
          <w:rFonts w:hint="eastAsia" w:ascii="仿宋_GB2312" w:hAnsi="仿宋_GB2312" w:eastAsia="仿宋_GB2312" w:cs="仿宋_GB2312"/>
          <w:b w:val="0"/>
          <w:bCs w:val="0"/>
          <w:color w:val="auto"/>
          <w:sz w:val="32"/>
          <w:szCs w:val="32"/>
          <w:highlight w:val="none"/>
          <w:lang w:val="en-US" w:eastAsia="zh-CN"/>
        </w:rPr>
        <w:t>年初预算为 57.73万元，支出决算为 74.48 万元，完成 年初预算的 129%。</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年初预算为55 万元，支出决算为55万元，完成年初预算的100%。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 6.89 万 元，支出决算数为7.05 万元，完成年初预算的 102%。</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决算数与年初预算数存在差异的主要原因是人员增资,缴费基数变大。</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4.医疗卫生与计划生育支出（类）行政事业单位医疗（款）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年初未列入预算，支出决算数为1.37万元。</w:t>
      </w:r>
      <w:r>
        <w:rPr>
          <w:rFonts w:hint="eastAsia" w:ascii="仿宋_GB2312" w:hAnsi="仿宋_GB2312" w:eastAsia="仿宋_GB2312" w:cs="仿宋_GB2312"/>
          <w:color w:val="auto"/>
          <w:sz w:val="32"/>
          <w:szCs w:val="32"/>
          <w:highlight w:val="none"/>
          <w:lang w:val="en-US" w:eastAsia="zh-CN"/>
        </w:rPr>
        <w:t>未列入预算原因是列入社会保障和就业支出里。</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医疗卫生与计划生育支出（类）行政事业单位医疗（款）事业单位医疗（项）。</w:t>
      </w:r>
      <w:r>
        <w:rPr>
          <w:rFonts w:hint="eastAsia" w:ascii="仿宋_GB2312" w:hAnsi="仿宋_GB2312" w:eastAsia="仿宋_GB2312" w:cs="仿宋_GB2312"/>
          <w:b w:val="0"/>
          <w:bCs w:val="0"/>
          <w:color w:val="auto"/>
          <w:sz w:val="32"/>
          <w:szCs w:val="32"/>
          <w:highlight w:val="none"/>
          <w:lang w:val="en-US" w:eastAsia="zh-CN"/>
        </w:rPr>
        <w:t>年初未列入预算，支出决算数为1.67万元。</w:t>
      </w:r>
      <w:r>
        <w:rPr>
          <w:rFonts w:hint="eastAsia" w:ascii="仿宋_GB2312" w:hAnsi="仿宋_GB2312" w:eastAsia="仿宋_GB2312" w:cs="仿宋_GB2312"/>
          <w:color w:val="auto"/>
          <w:sz w:val="32"/>
          <w:szCs w:val="32"/>
          <w:highlight w:val="none"/>
          <w:lang w:val="en-US" w:eastAsia="zh-CN"/>
        </w:rPr>
        <w:t>未列入预算原因是列入社会保障和就业支出里。</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2018年度一般公共预算财政拨款基本支出84.57万元。其中：</w:t>
      </w:r>
      <w:r>
        <w:rPr>
          <w:rFonts w:hint="eastAsia" w:ascii="仿宋_GB2312" w:hAnsi="仿宋_GB2312" w:eastAsia="仿宋_GB2312" w:cs="仿宋_GB2312"/>
          <w:b w:val="0"/>
          <w:bCs w:val="0"/>
          <w:color w:val="auto"/>
          <w:sz w:val="32"/>
          <w:szCs w:val="32"/>
          <w:highlight w:val="none"/>
          <w:lang w:val="en-US" w:eastAsia="zh-CN"/>
        </w:rPr>
        <w:t>人员经费77.29万元，主要包括：基本工资、津贴补贴、绩效工资、机关事业单位基本养老保险缴费、其他社会保障缴费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；公用经费7.28万元，主要包括：印刷费、其他交通费用。与上年度相比，一般公共预算财政拨款基本支出增加10.73万元，增长14.5%。主要原因是人员增资，社保缴费基数增加。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0万元。2018年期末，部门开支财政拨款的公务用车保有量为0辆。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0万元。2018年共接待国内来访团组0个、来宾0人次（不包括陪同人员）。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根据财政预算管理要求，共青团濮阳县委加强在资金使用过程中管理，对2019年度一般公共预算项目支出全面开展绩效自评。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团县委充分认识项目绩效自评的重要性，自评覆盖率达 到 100%，所有项目基本达到预期目标，群众满意度高。九、政府性基金预算财政拨款支出决算情况说明</w:t>
      </w:r>
    </w:p>
    <w:p>
      <w:pPr>
        <w:widowControl/>
        <w:numPr>
          <w:ilvl w:val="0"/>
          <w:numId w:val="3"/>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 xml:space="preserve"> 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初预算为7.28万元，支出决算为7.28万元，完成年初预算的100%。与上年度相比，机关运行经费支出增加2.28元，增长45.</w:t>
      </w:r>
      <w:bookmarkStart w:id="0" w:name="_GoBack"/>
      <w:bookmarkEnd w:id="0"/>
      <w:r>
        <w:rPr>
          <w:rFonts w:hint="eastAsia" w:ascii="仿宋_GB2312" w:hAnsi="仿宋_GB2312" w:eastAsia="仿宋_GB2312" w:cs="仿宋_GB2312"/>
          <w:color w:val="auto"/>
          <w:sz w:val="32"/>
          <w:szCs w:val="32"/>
          <w:highlight w:val="none"/>
          <w:lang w:val="en-US" w:eastAsia="zh-CN"/>
        </w:rPr>
        <w:t>6%，主要原因是人员增资，缴费基数增加。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2018年度政府采购支出总额6.8万元，其中：政府采购货物支出6.8万元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2018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5C2005D"/>
    <w:rsid w:val="0BA304CD"/>
    <w:rsid w:val="0D9062E7"/>
    <w:rsid w:val="12F81E26"/>
    <w:rsid w:val="15905ECD"/>
    <w:rsid w:val="1C5C5DAD"/>
    <w:rsid w:val="1F2729EF"/>
    <w:rsid w:val="1F811484"/>
    <w:rsid w:val="26FB3DD6"/>
    <w:rsid w:val="2CD7012E"/>
    <w:rsid w:val="2E642840"/>
    <w:rsid w:val="2E7E72B8"/>
    <w:rsid w:val="2F124E7D"/>
    <w:rsid w:val="2F3336B3"/>
    <w:rsid w:val="2FD3060D"/>
    <w:rsid w:val="31EE2784"/>
    <w:rsid w:val="33C7781A"/>
    <w:rsid w:val="387927B5"/>
    <w:rsid w:val="3E396404"/>
    <w:rsid w:val="3E8A5D1C"/>
    <w:rsid w:val="3ECC5C74"/>
    <w:rsid w:val="41E95BE3"/>
    <w:rsid w:val="48056DC3"/>
    <w:rsid w:val="4D3D47C6"/>
    <w:rsid w:val="4F702056"/>
    <w:rsid w:val="4FC10099"/>
    <w:rsid w:val="50C8334B"/>
    <w:rsid w:val="536A1A37"/>
    <w:rsid w:val="56E244BA"/>
    <w:rsid w:val="5BBF33CD"/>
    <w:rsid w:val="5D914E11"/>
    <w:rsid w:val="5E962EC4"/>
    <w:rsid w:val="5F152507"/>
    <w:rsid w:val="606D3F2E"/>
    <w:rsid w:val="63056908"/>
    <w:rsid w:val="66132327"/>
    <w:rsid w:val="6B227233"/>
    <w:rsid w:val="6D101368"/>
    <w:rsid w:val="6E2D0B6D"/>
    <w:rsid w:val="6F382B88"/>
    <w:rsid w:val="6F4F642F"/>
    <w:rsid w:val="6F640286"/>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31</TotalTime>
  <ScaleCrop>false</ScaleCrop>
  <LinksUpToDate>false</LinksUpToDate>
  <CharactersWithSpaces>9053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2021-06-09T02:59:01Z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11A451D8D5D047AB8A7E0DFD5BD80B75</vt:lpwstr>
  </property>
</Properties>
</file>