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宋体" w:hAnsi="宋体" w:eastAsia="宋体" w:cs="宋体"/>
          <w:i w:val="0"/>
          <w:color w:val="000000"/>
          <w:kern w:val="0"/>
          <w:sz w:val="44"/>
          <w:szCs w:val="44"/>
          <w:u w:val="none"/>
          <w:lang w:val="en-US" w:eastAsia="zh-CN" w:bidi="ar"/>
        </w:rPr>
        <w:t>中国人民政治协商会议河南省濮阳县委员会</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32"/>
          <w:szCs w:val="32"/>
          <w:highlight w:val="none"/>
        </w:rPr>
        <w:t>第一部分　</w:t>
      </w:r>
      <w:r>
        <w:rPr>
          <w:rFonts w:hint="eastAsia" w:ascii="宋体" w:hAnsi="宋体" w:eastAsia="宋体" w:cs="宋体"/>
          <w:i w:val="0"/>
          <w:color w:val="000000"/>
          <w:kern w:val="0"/>
          <w:sz w:val="44"/>
          <w:szCs w:val="44"/>
          <w:u w:val="none"/>
          <w:lang w:val="en-US" w:eastAsia="zh-CN" w:bidi="ar"/>
        </w:rPr>
        <w:t>中国人民政治协商会议河南省濮阳县委员会</w:t>
      </w:r>
    </w:p>
    <w:p>
      <w:pPr>
        <w:jc w:val="left"/>
        <w:rPr>
          <w:rFonts w:ascii="黑体" w:hAnsi="黑体" w:eastAsia="黑体" w:cs="黑体"/>
          <w:color w:val="auto"/>
          <w:sz w:val="32"/>
          <w:szCs w:val="32"/>
          <w:highlight w:val="none"/>
        </w:rPr>
      </w:pP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宋体" w:hAnsi="宋体" w:eastAsia="宋体" w:cs="宋体"/>
          <w:i w:val="0"/>
          <w:color w:val="000000"/>
          <w:kern w:val="0"/>
          <w:sz w:val="44"/>
          <w:szCs w:val="44"/>
          <w:u w:val="none"/>
          <w:lang w:val="en-US" w:eastAsia="zh-CN" w:bidi="ar"/>
        </w:rPr>
        <w:t>中国人民政治协商会议河南省濮阳县委员会</w:t>
      </w:r>
    </w:p>
    <w:p>
      <w:pPr>
        <w:widowControl/>
        <w:jc w:val="center"/>
        <w:outlineLvl w:val="0"/>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ind w:firstLine="640" w:firstLineChars="200"/>
        <w:rPr>
          <w:rFonts w:hint="eastAsia" w:ascii="仿宋_GB2312" w:hAnsi="宋体" w:eastAsia="仿宋_GB2312" w:cs="宋体"/>
          <w:kern w:val="0"/>
          <w:sz w:val="32"/>
          <w:szCs w:val="32"/>
          <w:lang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r>
        <w:rPr>
          <w:rFonts w:hint="eastAsia"/>
          <w:lang w:val="en-US" w:eastAsia="zh-CN"/>
        </w:rPr>
        <w:t xml:space="preserve">  </w:t>
      </w:r>
      <w:r>
        <w:rPr>
          <w:rFonts w:hint="eastAsia" w:ascii="宋体" w:hAnsi="宋体"/>
          <w:sz w:val="28"/>
          <w:szCs w:val="28"/>
          <w:lang w:eastAsia="zh-CN"/>
        </w:rPr>
        <w:t>负责县政协全体会议、常委会议、主席会议、常务委员专题座谈会和专门委员会的会务工作；组织实施政协全体会议的决议、决定；负责县政协委员的视察、调研、参观等活动的具体服务工作；了解全县政协工作情况，总结经验，提出建议，供领导参阅；开展对中国共产党领导的多党合作和政治协商制度的理论政策研究，指导实际工作；负责县政协的对外宣传工作，收集反映各界人士的意见和建议；联系各乡（镇）和县直党政有关部门，承办有关协调工作；负责民主党派、群众团体、社会各界人士的联络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rPr>
          <w:rFonts w:hint="eastAsia" w:ascii="宋体" w:hAnsi="宋体" w:eastAsia="宋体"/>
          <w:sz w:val="28"/>
          <w:szCs w:val="28"/>
          <w:lang w:eastAsia="zh-CN"/>
        </w:rPr>
      </w:pPr>
      <w:r>
        <w:rPr>
          <w:rFonts w:hint="eastAsia" w:ascii="宋体" w:hAnsi="宋体" w:eastAsia="仿宋_GB2312"/>
          <w:sz w:val="28"/>
          <w:szCs w:val="28"/>
          <w:lang w:eastAsia="zh-CN"/>
        </w:rPr>
        <w:t>濮阳县政协</w:t>
      </w:r>
      <w:r>
        <w:rPr>
          <w:rFonts w:hint="eastAsia" w:ascii="仿宋_GB2312" w:hAnsi="仿宋_GB2312" w:eastAsia="仿宋_GB2312" w:cs="仿宋_GB2312"/>
          <w:color w:val="auto"/>
          <w:kern w:val="0"/>
          <w:sz w:val="32"/>
          <w:szCs w:val="32"/>
          <w:highlight w:val="none"/>
          <w:lang w:val="en-US" w:eastAsia="zh-CN"/>
        </w:rPr>
        <w:t>内设机构6个，包括：</w:t>
      </w:r>
      <w:r>
        <w:rPr>
          <w:rFonts w:hint="eastAsia" w:ascii="宋体" w:hAnsi="宋体"/>
          <w:sz w:val="28"/>
          <w:szCs w:val="28"/>
          <w:lang w:eastAsia="zh-CN"/>
        </w:rPr>
        <w:t>提案工作委员会，经济科技委员会，文教卫生委员会，学习文史委员会，民主法治委员会</w:t>
      </w:r>
      <w:r>
        <w:rPr>
          <w:rFonts w:hint="eastAsia" w:ascii="宋体" w:hAnsi="宋体"/>
          <w:sz w:val="28"/>
          <w:szCs w:val="28"/>
          <w:lang w:val="en-US" w:eastAsia="zh-CN"/>
        </w:rPr>
        <w:t>,委员联络室</w:t>
      </w:r>
      <w:r>
        <w:rPr>
          <w:rFonts w:hint="eastAsia" w:ascii="宋体" w:hAnsi="宋体"/>
          <w:sz w:val="28"/>
          <w:szCs w:val="28"/>
          <w:lang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宋体" w:hAnsi="宋体" w:eastAsia="仿宋_GB2312"/>
          <w:sz w:val="28"/>
          <w:szCs w:val="28"/>
          <w:lang w:eastAsia="zh-CN"/>
        </w:rPr>
        <w:t>濮阳县政协</w:t>
      </w:r>
      <w:r>
        <w:rPr>
          <w:rFonts w:hint="eastAsia" w:ascii="仿宋_GB2312" w:hAnsi="仿宋_GB2312" w:eastAsia="仿宋_GB2312" w:cs="仿宋_GB2312"/>
          <w:color w:val="auto"/>
          <w:kern w:val="0"/>
          <w:sz w:val="32"/>
          <w:szCs w:val="32"/>
          <w:highlight w:val="none"/>
          <w:lang w:val="en-US" w:eastAsia="zh-CN"/>
        </w:rPr>
        <w:t>部门决算包括：本级决算。纳入本部门2019年度部门决算编制范围的单位共1个。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宋体" w:hAnsi="宋体" w:eastAsia="仿宋_GB2312"/>
          <w:sz w:val="28"/>
          <w:szCs w:val="28"/>
          <w:lang w:eastAsia="zh-CN"/>
        </w:rPr>
        <w:t>濮阳县政协</w:t>
      </w:r>
      <w:r>
        <w:rPr>
          <w:rFonts w:hint="eastAsia" w:ascii="仿宋_GB2312" w:hAnsi="仿宋_GB2312" w:eastAsia="仿宋_GB2312" w:cs="仿宋_GB2312"/>
          <w:color w:val="auto"/>
          <w:kern w:val="0"/>
          <w:sz w:val="32"/>
          <w:szCs w:val="32"/>
          <w:highlight w:val="none"/>
          <w:lang w:val="en-US" w:eastAsia="zh-CN"/>
        </w:rPr>
        <w:t>本级</w:t>
      </w:r>
    </w:p>
    <w:p>
      <w:pPr>
        <w:widowControl/>
        <w:jc w:val="left"/>
        <w:rPr>
          <w:rFonts w:hint="default"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5429"/>
        <w:gridCol w:w="789"/>
        <w:gridCol w:w="1160"/>
        <w:gridCol w:w="4857"/>
        <w:gridCol w:w="789"/>
        <w:gridCol w:w="2404"/>
      </w:tblGrid>
      <w:tr>
        <w:tblPrEx>
          <w:shd w:val="clear" w:color="auto" w:fill="auto"/>
          <w:tblCellMar>
            <w:top w:w="0" w:type="dxa"/>
            <w:left w:w="0" w:type="dxa"/>
            <w:bottom w:w="0" w:type="dxa"/>
            <w:right w:w="0" w:type="dxa"/>
          </w:tblCellMar>
        </w:tblPrEx>
        <w:trPr>
          <w:trHeight w:val="390"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jc w:val="center"/>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378"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50" w:type="dxa"/>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748.81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692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42.19</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14.62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748.81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748.81</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748.81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748.81</w:t>
            </w:r>
          </w:p>
        </w:tc>
      </w:tr>
      <w:tr>
        <w:tblPrEx>
          <w:tblCellMar>
            <w:top w:w="0" w:type="dxa"/>
            <w:left w:w="0" w:type="dxa"/>
            <w:bottom w:w="0" w:type="dxa"/>
            <w:right w:w="0" w:type="dxa"/>
          </w:tblCellMar>
        </w:tblPrEx>
        <w:trPr>
          <w:trHeight w:val="308"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880"/>
        <w:gridCol w:w="3350"/>
        <w:gridCol w:w="1600"/>
        <w:gridCol w:w="1600"/>
        <w:gridCol w:w="1600"/>
        <w:gridCol w:w="1599"/>
        <w:gridCol w:w="1600"/>
        <w:gridCol w:w="1599"/>
        <w:gridCol w:w="1600"/>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9030" w:type="dxa"/>
            <w:gridSpan w:val="5"/>
            <w:tcBorders>
              <w:top w:val="nil"/>
              <w:left w:val="nil"/>
              <w:bottom w:val="nil"/>
              <w:right w:val="nil"/>
            </w:tcBorders>
            <w:shd w:val="clear" w:color="auto" w:fill="auto"/>
            <w:noWrap/>
            <w:tcMar>
              <w:top w:w="15" w:type="dxa"/>
              <w:left w:w="15" w:type="dxa"/>
              <w:right w:w="15" w:type="dxa"/>
            </w:tcMar>
            <w:vAlign w:val="bottom"/>
          </w:tcPr>
          <w:p>
            <w:pPr>
              <w:jc w:val="both"/>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639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cs="宋体"/>
                <w:i w:val="0"/>
                <w:color w:val="000000"/>
                <w:kern w:val="0"/>
                <w:sz w:val="22"/>
                <w:szCs w:val="22"/>
                <w:u w:val="none"/>
                <w:lang w:val="en-US" w:eastAsia="zh-CN" w:bidi="ar"/>
              </w:rPr>
              <w:t>748.81</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748.81</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692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692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2"/>
                <w:sz w:val="22"/>
                <w:szCs w:val="22"/>
                <w:u w:val="none"/>
                <w:lang w:val="en-US" w:eastAsia="zh-CN" w:bidi="ar-SA"/>
              </w:rPr>
              <w:t>政协事务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692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692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303</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303</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2"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2010204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政协会议</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85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sz w:val="22"/>
                <w:szCs w:val="22"/>
                <w:u w:val="none"/>
                <w:lang w:val="en-US" w:eastAsia="zh-CN"/>
              </w:rPr>
              <w:t>85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42.19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42.19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42.19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42.19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w:t>
            </w:r>
            <w:r>
              <w:rPr>
                <w:rFonts w:hint="eastAsia" w:ascii="宋体" w:hAnsi="宋体" w:cs="宋体"/>
                <w:i w:val="0"/>
                <w:color w:val="000000"/>
                <w:kern w:val="0"/>
                <w:sz w:val="22"/>
                <w:szCs w:val="22"/>
                <w:u w:val="none"/>
                <w:lang w:val="en-US" w:eastAsia="zh-CN" w:bidi="ar"/>
              </w:rPr>
              <w:t>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cs="宋体"/>
                <w:i w:val="0"/>
                <w:color w:val="000000"/>
                <w:kern w:val="0"/>
                <w:sz w:val="22"/>
                <w:szCs w:val="22"/>
                <w:u w:val="none"/>
                <w:lang w:val="en-US" w:eastAsia="zh-CN" w:bidi="ar"/>
              </w:rPr>
              <w:t>归口管理的行政单位离退休</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7.85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7.85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2080599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其他行政事业单位离退休支出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34.34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34.34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卫生健康支出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14.62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14.62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210110</w:t>
            </w:r>
            <w:r>
              <w:rPr>
                <w:rFonts w:hint="eastAsia" w:ascii="宋体" w:hAnsi="宋体" w:cs="宋体"/>
                <w:i w:val="0"/>
                <w:color w:val="000000"/>
                <w:kern w:val="0"/>
                <w:sz w:val="22"/>
                <w:szCs w:val="22"/>
                <w:u w:val="none"/>
                <w:lang w:val="en-US" w:eastAsia="zh-CN" w:bidi="ar"/>
              </w:rPr>
              <w:t>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cs="宋体"/>
                <w:i w:val="0"/>
                <w:color w:val="000000"/>
                <w:kern w:val="0"/>
                <w:sz w:val="22"/>
                <w:szCs w:val="22"/>
                <w:u w:val="none"/>
                <w:lang w:val="en-US" w:eastAsia="zh-CN" w:bidi="ar"/>
              </w:rPr>
              <w:t>事业</w:t>
            </w:r>
            <w:r>
              <w:rPr>
                <w:rFonts w:hint="eastAsia" w:ascii="宋体" w:hAnsi="宋体" w:eastAsia="宋体" w:cs="宋体"/>
                <w:i w:val="0"/>
                <w:color w:val="000000"/>
                <w:kern w:val="0"/>
                <w:sz w:val="22"/>
                <w:szCs w:val="22"/>
                <w:u w:val="none"/>
                <w:lang w:val="en-US" w:eastAsia="zh-CN" w:bidi="ar"/>
              </w:rPr>
              <w:t>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14.62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265"/>
        <w:gridCol w:w="264"/>
        <w:gridCol w:w="268"/>
        <w:gridCol w:w="4995"/>
        <w:gridCol w:w="1653"/>
        <w:gridCol w:w="1581"/>
        <w:gridCol w:w="1580"/>
        <w:gridCol w:w="1507"/>
        <w:gridCol w:w="1507"/>
        <w:gridCol w:w="1808"/>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65"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26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68"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99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653"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1"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445" w:type="dxa"/>
            <w:gridSpan w:val="5"/>
            <w:tcBorders>
              <w:top w:val="nil"/>
              <w:left w:val="nil"/>
              <w:bottom w:val="nil"/>
              <w:right w:val="nil"/>
            </w:tcBorders>
            <w:shd w:val="clear" w:color="auto" w:fill="FFFFFF"/>
            <w:noWrap/>
            <w:tcMar>
              <w:top w:w="15" w:type="dxa"/>
              <w:left w:w="15" w:type="dxa"/>
              <w:right w:w="15" w:type="dxa"/>
            </w:tcMar>
            <w:vAlign w:val="bottom"/>
          </w:tcPr>
          <w:p>
            <w:pPr>
              <w:jc w:val="center"/>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7983"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3"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8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8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97"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99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748.81</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tabs>
                <w:tab w:val="center" w:pos="775"/>
              </w:tabs>
              <w:jc w:val="left"/>
              <w:textAlignment w:val="center"/>
              <w:rPr>
                <w:rFonts w:hint="default" w:ascii="宋体" w:hAnsi="宋体" w:eastAsia="宋体" w:cs="宋体"/>
                <w:b/>
                <w:i w:val="0"/>
                <w:color w:val="000000"/>
                <w:kern w:val="2"/>
                <w:sz w:val="22"/>
                <w:szCs w:val="22"/>
                <w:u w:val="none"/>
                <w:lang w:val="en-US" w:eastAsia="zh-CN" w:bidi="ar-SA"/>
              </w:rPr>
            </w:pPr>
            <w:r>
              <w:rPr>
                <w:rFonts w:hint="eastAsia" w:ascii="宋体" w:hAnsi="宋体" w:cs="宋体"/>
                <w:b/>
                <w:i w:val="0"/>
                <w:color w:val="000000"/>
                <w:kern w:val="2"/>
                <w:sz w:val="22"/>
                <w:szCs w:val="22"/>
                <w:u w:val="none"/>
                <w:lang w:val="en-US" w:eastAsia="zh-CN" w:bidi="ar-SA"/>
              </w:rPr>
              <w:t>444.81</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304</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一般公共服务支出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692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388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304</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政协事务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692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388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304</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303</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303</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304</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2010204</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政协会议</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85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sz w:val="22"/>
                <w:szCs w:val="22"/>
                <w:u w:val="none"/>
                <w:lang w:val="en-US" w:eastAsia="zh-CN"/>
              </w:rPr>
              <w:t>85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42.19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42.19</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行政事业单位离退休</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42.19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42.19</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208050</w:t>
            </w:r>
            <w:r>
              <w:rPr>
                <w:rFonts w:hint="eastAsia" w:ascii="宋体" w:hAnsi="宋体" w:cs="宋体"/>
                <w:i w:val="0"/>
                <w:color w:val="000000"/>
                <w:kern w:val="0"/>
                <w:sz w:val="22"/>
                <w:szCs w:val="22"/>
                <w:u w:val="none"/>
                <w:lang w:val="en-US" w:eastAsia="zh-CN" w:bidi="ar"/>
              </w:rPr>
              <w:t>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cs="宋体"/>
                <w:i w:val="0"/>
                <w:color w:val="000000"/>
                <w:kern w:val="0"/>
                <w:sz w:val="22"/>
                <w:szCs w:val="22"/>
                <w:u w:val="none"/>
                <w:lang w:val="en-US" w:eastAsia="zh-CN" w:bidi="ar"/>
              </w:rPr>
              <w:t>归口管理的行政单位离退休</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7.85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7.85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2080599</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其他行政事业单位离退休支出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34.34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34.34</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卫生健康支出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w:t>
            </w:r>
            <w:r>
              <w:rPr>
                <w:rFonts w:hint="eastAsia" w:ascii="宋体" w:hAnsi="宋体" w:cs="宋体"/>
                <w:i w:val="0"/>
                <w:color w:val="000000"/>
                <w:kern w:val="0"/>
                <w:sz w:val="22"/>
                <w:szCs w:val="22"/>
                <w:u w:val="none"/>
                <w:lang w:val="en-US" w:eastAsia="zh-CN" w:bidi="ar"/>
              </w:rPr>
              <w:t>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事业</w:t>
            </w:r>
            <w:r>
              <w:rPr>
                <w:rFonts w:hint="eastAsia" w:ascii="宋体" w:hAnsi="宋体" w:eastAsia="宋体" w:cs="宋体"/>
                <w:i w:val="0"/>
                <w:color w:val="000000"/>
                <w:kern w:val="0"/>
                <w:sz w:val="22"/>
                <w:szCs w:val="22"/>
                <w:u w:val="none"/>
                <w:lang w:val="en-US" w:eastAsia="zh-CN" w:bidi="ar"/>
              </w:rPr>
              <w:t>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4306"/>
        <w:gridCol w:w="564"/>
        <w:gridCol w:w="1630"/>
        <w:gridCol w:w="4308"/>
        <w:gridCol w:w="564"/>
        <w:gridCol w:w="948"/>
        <w:gridCol w:w="1629"/>
        <w:gridCol w:w="1479"/>
      </w:tblGrid>
      <w:tr>
        <w:tblPrEx>
          <w:shd w:val="clear" w:color="auto" w:fill="auto"/>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372" w:type="dxa"/>
            <w:gridSpan w:val="5"/>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4056"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2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748.81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692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692</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42.19</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42.19</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14.62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14.62</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748.81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748.81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748.81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748.81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748.81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748.81</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539"/>
        <w:gridCol w:w="6482"/>
        <w:gridCol w:w="2533"/>
        <w:gridCol w:w="2438"/>
        <w:gridCol w:w="2436"/>
      </w:tblGrid>
      <w:tr>
        <w:tblPrEx>
          <w:shd w:val="clear" w:color="auto" w:fill="auto"/>
        </w:tblPrEx>
        <w:trPr>
          <w:trHeight w:val="390"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8021"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740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3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48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748.81</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444.81</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304</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一般公共服务支出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692</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388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304</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政协事务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692</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388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304</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303</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303</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304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304</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2010204</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政协会议</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85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sz w:val="22"/>
                <w:szCs w:val="22"/>
                <w:u w:val="none"/>
                <w:lang w:val="en-US" w:eastAsia="zh-CN"/>
              </w:rPr>
              <w:t>85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42.19</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42.19</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行政事业单位离退休</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42.19</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42.19</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208050</w:t>
            </w:r>
            <w:r>
              <w:rPr>
                <w:rFonts w:hint="eastAsia" w:ascii="宋体" w:hAnsi="宋体" w:cs="宋体"/>
                <w:i w:val="0"/>
                <w:color w:val="000000"/>
                <w:kern w:val="0"/>
                <w:sz w:val="22"/>
                <w:szCs w:val="22"/>
                <w:u w:val="none"/>
                <w:lang w:val="en-US" w:eastAsia="zh-CN" w:bidi="ar"/>
              </w:rPr>
              <w:t>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cs="宋体"/>
                <w:i w:val="0"/>
                <w:color w:val="000000"/>
                <w:kern w:val="0"/>
                <w:sz w:val="22"/>
                <w:szCs w:val="22"/>
                <w:u w:val="none"/>
                <w:lang w:val="en-US" w:eastAsia="zh-CN" w:bidi="ar"/>
              </w:rPr>
              <w:t>归口管理的行政单位离退休</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7.85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7.85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2080599</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其他行政事业单位离退休支出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34.34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34.34</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卫生健康支出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w:t>
            </w:r>
            <w:r>
              <w:rPr>
                <w:rFonts w:hint="eastAsia" w:ascii="宋体" w:hAnsi="宋体" w:cs="宋体"/>
                <w:i w:val="0"/>
                <w:color w:val="000000"/>
                <w:kern w:val="0"/>
                <w:sz w:val="22"/>
                <w:szCs w:val="22"/>
                <w:u w:val="none"/>
                <w:lang w:val="en-US" w:eastAsia="zh-CN" w:bidi="ar"/>
              </w:rPr>
              <w:t>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cs="宋体"/>
                <w:i w:val="0"/>
                <w:color w:val="000000"/>
                <w:kern w:val="0"/>
                <w:sz w:val="22"/>
                <w:szCs w:val="22"/>
                <w:u w:val="none"/>
                <w:lang w:val="en-US" w:eastAsia="zh-CN" w:bidi="ar"/>
              </w:rPr>
              <w:t>事业</w:t>
            </w:r>
            <w:r>
              <w:rPr>
                <w:rFonts w:hint="eastAsia" w:ascii="宋体" w:hAnsi="宋体" w:eastAsia="宋体" w:cs="宋体"/>
                <w:i w:val="0"/>
                <w:color w:val="000000"/>
                <w:kern w:val="0"/>
                <w:sz w:val="22"/>
                <w:szCs w:val="22"/>
                <w:u w:val="none"/>
                <w:lang w:val="en-US" w:eastAsia="zh-CN" w:bidi="ar"/>
              </w:rPr>
              <w:t>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14.62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615"/>
        <w:gridCol w:w="2952"/>
        <w:gridCol w:w="1508"/>
        <w:gridCol w:w="616"/>
        <w:gridCol w:w="2324"/>
        <w:gridCol w:w="1508"/>
        <w:gridCol w:w="615"/>
        <w:gridCol w:w="3782"/>
        <w:gridCol w:w="1508"/>
      </w:tblGrid>
      <w:tr>
        <w:tblPrEx>
          <w:shd w:val="clear" w:color="auto" w:fill="auto"/>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5691" w:type="dxa"/>
            <w:gridSpan w:val="4"/>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9737"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0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5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9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235.83</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166.79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122.13</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28.41</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99.08</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40.66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0.10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0.84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5.25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0.84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14.62</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14.99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0.48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42.19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39.57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7.85</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30.31</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8.57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4.03</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14.99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0.35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6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278.02</w:t>
            </w:r>
          </w:p>
        </w:tc>
        <w:tc>
          <w:tcPr>
            <w:tcW w:w="88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166.79</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1"/>
                <w:szCs w:val="21"/>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7"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10.57</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10.57</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10.57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10.57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10.57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10.57</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jc w:val="left"/>
              <w:rPr>
                <w:rFonts w:hint="eastAsia" w:ascii="黑体" w:hAnsi="黑体" w:eastAsia="黑体" w:cs="黑体"/>
                <w:color w:val="auto"/>
                <w:sz w:val="28"/>
                <w:szCs w:val="28"/>
                <w:highlight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中国人民政治协商会议河南省濮阳县委员会</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2019年度收、支总计均为748.81万元。与上年度相比，收、支总计各增加73.92万元，增长9.87%。主要原因是人员增资，社保缴费基数增加、专项活动经费增加。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2019年度收入合计748.81万元，其中：财政拨款收入748.81万元，占100%。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2019年度支出合计748.81万元，其中：基本支出444.81万元，占59.40%；项目支出304万元，占40.6%。</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2019年度财政拨款收、支总计均为748.81万元。与上年度相比，财政拨款收、支总计各增加73.92万元，增长9.87%。主要原因是人员增资，社保缴费基数增加、专项活动经费增加。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2019年度一般公共预算财政拨款支出748.81万元，占本年支出合计的100%。与上年度相比，一般公共预算财政拨款支出增加73.92万元，增长9.87%。主要原因是人员增资，社保缴费基数增加、专项活动经费增加。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2019年度一般公共预算财政拨款支出748.81万元，主要用于以下方面：一般公共服务（类）支出692万元，占92.41%；社会保障和就业支出42.19万元，占5.63%；医疗卫生与计划生育支出1.96%。</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2019年度一般公共预算财政拨款支出年初预算为748.81万元，支出决算为748.81万元，完成年初预算的100%。其中：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一般公共服务（类）群众团体事务（款）行政运行 （项）。</w:t>
      </w:r>
      <w:r>
        <w:rPr>
          <w:rFonts w:hint="eastAsia" w:ascii="仿宋_GB2312" w:hAnsi="仿宋_GB2312" w:eastAsia="仿宋_GB2312" w:cs="仿宋_GB2312"/>
          <w:b w:val="0"/>
          <w:bCs w:val="0"/>
          <w:color w:val="auto"/>
          <w:sz w:val="32"/>
          <w:szCs w:val="32"/>
          <w:highlight w:val="none"/>
          <w:lang w:val="en-US" w:eastAsia="zh-CN"/>
        </w:rPr>
        <w:t>年初预算为 303万元，支出决算为 303 万元，完成 年初预算的 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2．一般公共服务（类）群众团体事务（款）一般行政管理事务（项）。</w:t>
      </w:r>
      <w:r>
        <w:rPr>
          <w:rFonts w:hint="eastAsia" w:ascii="仿宋_GB2312" w:hAnsi="仿宋_GB2312" w:eastAsia="仿宋_GB2312" w:cs="仿宋_GB2312"/>
          <w:b w:val="0"/>
          <w:bCs w:val="0"/>
          <w:color w:val="auto"/>
          <w:sz w:val="32"/>
          <w:szCs w:val="32"/>
          <w:highlight w:val="none"/>
          <w:lang w:val="en-US" w:eastAsia="zh-CN"/>
        </w:rPr>
        <w:t>年初预算为304 万元，支出决算为304万元，完成年初预算的100%。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年初预算数为42.19万 元，支出决算数为42.19 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4.医疗卫生与计划生育支出（类）行政事业单位医疗（款）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年初预算数为14.62，支出决算数为14.62万元，完成年初预算的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2019年度一般公共预算财政拨款基本支出444.81万元。与上年相比，减少32.08万元，占6.7%，主要原因是：人员经费开支减少。其中：</w:t>
      </w:r>
      <w:r>
        <w:rPr>
          <w:rFonts w:hint="eastAsia" w:ascii="仿宋_GB2312" w:hAnsi="仿宋_GB2312" w:eastAsia="仿宋_GB2312" w:cs="仿宋_GB2312"/>
          <w:b w:val="0"/>
          <w:bCs w:val="0"/>
          <w:color w:val="auto"/>
          <w:sz w:val="32"/>
          <w:szCs w:val="32"/>
          <w:highlight w:val="none"/>
          <w:lang w:val="en-US" w:eastAsia="zh-CN"/>
        </w:rPr>
        <w:t>人员经费378.01万元，主要包括：基本工资、津贴补贴、绩效工资、机关事业单位基本养老保险缴费、其他社会保障缴费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；公用经费66.8万元，主要包括：印刷费、其他交通费用。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2019年度“三公”经费财政拨款支出预算为10.57万元，支出决算为10.57万元，完成预算的100%。。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2019年度“三公”经费财政拨款支出决算中，因公出国（境）费支出决算0万元，完成预算的0%；公务用车购置及运行费支出决算10.57万元，完成预算的100%；公务接待费支出决算0万元，完成预算的0%，占0%。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初预算为10.57万元，支出决算为10.57万元，完成年初预算的100%。其中：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10.57万元。2019年期末，部门开支财政拨款的公务用车保有量为2辆。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根据财政预算管理要求，共青团濮阳县委加强在资金使用过程中管理，对2019年度一般公共预算项目支出全面开展绩效自评。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县政协充分认识项目绩效自评的重要性，自评覆盖率达 到 100%，所有项目基本达到预期目标，群众满意度高。</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2019年，我单位没有纳入重点绩效评价的项目，特此说明。</w:t>
      </w:r>
    </w:p>
    <w:p>
      <w:pPr>
        <w:widowControl/>
        <w:numPr>
          <w:ilvl w:val="0"/>
          <w:numId w:val="4"/>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初预算为166.79万元，支出决算为166.79万元，完成年初预算的100%。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2019年度机关运行经费支出166.79万元，比去年增加8.08万元，增长5%，主要原因是人员增资、社保缴费增加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2辆，其中：省级领导干部用车0辆、主要领导干部用车0辆、机要通信用车0辆、应急保障车1辆、执法执勤用车0辆、特种专业技术用车0辆、离退休干部用车0辆、其他用车1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610E2389"/>
    <w:multiLevelType w:val="singleLevel"/>
    <w:tmpl w:val="610E2389"/>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BA304CD"/>
    <w:rsid w:val="0C3610E5"/>
    <w:rsid w:val="0D9062E7"/>
    <w:rsid w:val="0E0306A7"/>
    <w:rsid w:val="12F81E26"/>
    <w:rsid w:val="15905ECD"/>
    <w:rsid w:val="1B2B29C8"/>
    <w:rsid w:val="1C5617EB"/>
    <w:rsid w:val="1C5C5DAD"/>
    <w:rsid w:val="1F2729EF"/>
    <w:rsid w:val="1F811484"/>
    <w:rsid w:val="26FB3DD6"/>
    <w:rsid w:val="2CD7012E"/>
    <w:rsid w:val="2D9D2287"/>
    <w:rsid w:val="2E331ED4"/>
    <w:rsid w:val="2E642840"/>
    <w:rsid w:val="2E7E72B8"/>
    <w:rsid w:val="2F124E7D"/>
    <w:rsid w:val="2FD3060D"/>
    <w:rsid w:val="31EE2784"/>
    <w:rsid w:val="33C7781A"/>
    <w:rsid w:val="34057AED"/>
    <w:rsid w:val="387927B5"/>
    <w:rsid w:val="3A7E717B"/>
    <w:rsid w:val="3E396404"/>
    <w:rsid w:val="3E8A5D1C"/>
    <w:rsid w:val="3ECC5C74"/>
    <w:rsid w:val="3F9B6757"/>
    <w:rsid w:val="48056DC3"/>
    <w:rsid w:val="4D3D47C6"/>
    <w:rsid w:val="4EBF75A6"/>
    <w:rsid w:val="4F702056"/>
    <w:rsid w:val="4FC10099"/>
    <w:rsid w:val="50C8334B"/>
    <w:rsid w:val="50C9181D"/>
    <w:rsid w:val="536A1A37"/>
    <w:rsid w:val="562C1926"/>
    <w:rsid w:val="56E244BA"/>
    <w:rsid w:val="5BBF33CD"/>
    <w:rsid w:val="5CB101B8"/>
    <w:rsid w:val="5D914E11"/>
    <w:rsid w:val="5E962EC4"/>
    <w:rsid w:val="5F152507"/>
    <w:rsid w:val="606D3F2E"/>
    <w:rsid w:val="63056908"/>
    <w:rsid w:val="66132327"/>
    <w:rsid w:val="6B227233"/>
    <w:rsid w:val="6D101368"/>
    <w:rsid w:val="6D4D1A76"/>
    <w:rsid w:val="6E2D0B6D"/>
    <w:rsid w:val="6F4F642F"/>
    <w:rsid w:val="6F640286"/>
    <w:rsid w:val="6FC4629E"/>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3</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2020-11-19T23:58:29Z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