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2019年度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濮阳县地方史志办公室</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pPr>
    </w:p>
    <w:p>
      <w:pPr>
        <w:jc w:val="center"/>
        <w:rPr>
          <w:rFonts w:hint="eastAsia" w:ascii="黑体" w:hAnsi="黑体" w:eastAsia="黑体" w:cs="黑体"/>
          <w:color w:val="auto"/>
          <w:sz w:val="32"/>
          <w:szCs w:val="32"/>
          <w:highlight w:val="none"/>
          <w:lang w:eastAsia="zh-CN"/>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濮阳县地方史志办公室</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2019年度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2019年度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濮阳县地方史志办公室</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rPr>
      </w:pPr>
      <w:r>
        <w:rPr>
          <w:rFonts w:hint="eastAsia" w:ascii="黑体" w:hAnsi="黑体" w:eastAsia="黑体" w:cs="黑体"/>
          <w:color w:val="auto"/>
          <w:kern w:val="0"/>
          <w:sz w:val="32"/>
          <w:szCs w:val="32"/>
          <w:highlight w:val="none"/>
          <w:lang w:val="en-US" w:eastAsia="zh-CN"/>
        </w:rPr>
        <w:t>部门</w:t>
      </w:r>
      <w:r>
        <w:rPr>
          <w:rFonts w:hint="eastAsia" w:ascii="黑体" w:hAnsi="黑体" w:eastAsia="黑体" w:cs="黑体"/>
          <w:bCs/>
          <w:sz w:val="32"/>
          <w:szCs w:val="32"/>
        </w:rPr>
        <w:t>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濮阳县地方史志办公室为政府直属事业单位，相当科级。主要职责</w:t>
      </w:r>
      <w:r>
        <w:rPr>
          <w:rFonts w:hint="eastAsia" w:ascii="仿宋" w:hAnsi="仿宋" w:eastAsia="仿宋" w:cs="仿宋"/>
          <w:sz w:val="32"/>
          <w:szCs w:val="32"/>
          <w:lang w:eastAsia="zh-CN"/>
        </w:rPr>
        <w:t>为：</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（一）受县政府委托，制订全县地方史志工作规划及实施意见。</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（二）承担县级志书、综合年鉴的编纂，出版发行任务。</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（三）指导各乡（镇）、县直各单位的志书、年鉴编纂工作。</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（四）收集整理地情资料，为领导决策及全县三大文明建设服务。</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（五）组织开展历史文化研究活动，重点是三皇五帝文化研究，特别是伏羲氏、颛顼帝、尧帝、舜帝文化的研究，为进一步提高濮阳县历史文化品位及知名度，为海内外联谊活动提供科学依据。</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（六）受县委、县政府委托，组织开展姓氏文化研究活动，特别是张姓文化研究、舜帝后裔姓氏文化研究，为海内外华人寻根谒祖提供姓氏资料。</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（七）承担《河南省志》、《河南省年鉴》、《濮阳市志》、《濮阳市年鉴》及其他大型综合性志书的供稿任务。</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（八）负责组织出版地情资料、历史文化研究、姓氏文化研究文集。</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（九）负责整理、校注旧志及考证濮阳古籍历史资料。</w:t>
      </w:r>
    </w:p>
    <w:p>
      <w:pPr>
        <w:keepNext w:val="0"/>
        <w:keepLines w:val="0"/>
        <w:pageBreakBefore w:val="0"/>
        <w:widowControl/>
        <w:kinsoku/>
        <w:wordWrap/>
        <w:overflowPunct/>
        <w:topLinePunct w:val="0"/>
        <w:autoSpaceDE/>
        <w:autoSpaceDN/>
        <w:bidi w:val="0"/>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（十）受县委、县政府委托，编辑出版历史研究学术性刊物，组织开展国内外历史文化研究学术交流。</w:t>
      </w:r>
    </w:p>
    <w:p>
      <w:pPr>
        <w:keepNext w:val="0"/>
        <w:keepLines w:val="0"/>
        <w:pageBreakBefore w:val="0"/>
        <w:widowControl/>
        <w:kinsoku/>
        <w:wordWrap/>
        <w:overflowPunct/>
        <w:topLinePunct w:val="0"/>
        <w:autoSpaceDE/>
        <w:autoSpaceDN/>
        <w:bidi w:val="0"/>
        <w:adjustRightInd/>
        <w:snapToGrid/>
        <w:spacing w:line="360" w:lineRule="auto"/>
        <w:ind w:firstLine="358" w:firstLineChars="112"/>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（十一）配合有关部门，搞好海内外华人寻根谒祖及各种联谊活动。</w:t>
      </w:r>
    </w:p>
    <w:p>
      <w:pPr>
        <w:keepNext w:val="0"/>
        <w:keepLines w:val="0"/>
        <w:pageBreakBefore w:val="0"/>
        <w:widowControl/>
        <w:kinsoku/>
        <w:wordWrap/>
        <w:overflowPunct/>
        <w:topLinePunct w:val="0"/>
        <w:autoSpaceDE/>
        <w:autoSpaceDN/>
        <w:bidi w:val="0"/>
        <w:adjustRightInd/>
        <w:snapToGrid/>
        <w:spacing w:line="360" w:lineRule="auto"/>
        <w:ind w:firstLine="358" w:firstLineChars="112"/>
        <w:jc w:val="both"/>
        <w:textAlignment w:val="auto"/>
        <w:outlineLvl w:val="9"/>
        <w:rPr>
          <w:rFonts w:hint="eastAsia" w:ascii="宋体" w:hAnsi="宋体"/>
          <w:b/>
          <w:sz w:val="28"/>
          <w:szCs w:val="28"/>
        </w:rPr>
      </w:pPr>
      <w:r>
        <w:rPr>
          <w:rFonts w:hint="eastAsia" w:ascii="仿宋" w:hAnsi="仿宋" w:eastAsia="仿宋" w:cs="仿宋"/>
          <w:sz w:val="32"/>
          <w:szCs w:val="32"/>
        </w:rPr>
        <w:t>（十二）完成县委、县政府交给的其他任务。</w:t>
      </w:r>
    </w:p>
    <w:p>
      <w:pPr>
        <w:numPr>
          <w:ilvl w:val="0"/>
          <w:numId w:val="0"/>
        </w:numPr>
        <w:spacing w:line="0" w:lineRule="atLeast"/>
        <w:jc w:val="both"/>
        <w:rPr>
          <w:rFonts w:hint="eastAsia" w:ascii="仿宋" w:hAnsi="仿宋" w:eastAsia="仿宋"/>
          <w:b/>
          <w:bCs/>
          <w:color w:val="333333"/>
          <w:sz w:val="30"/>
          <w:lang w:eastAsia="zh-CN"/>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numPr>
          <w:ilvl w:val="0"/>
          <w:numId w:val="0"/>
        </w:numPr>
        <w:spacing w:line="360" w:lineRule="auto"/>
        <w:ind w:firstLine="640" w:firstLineChars="200"/>
        <w:jc w:val="both"/>
        <w:rPr>
          <w:rFonts w:hint="eastAsia" w:ascii="黑体" w:hAnsi="黑体" w:eastAsia="黑体" w:cs="黑体"/>
          <w:b/>
          <w:bCs/>
          <w:color w:val="333333"/>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濮阳县地方史志办公室内设机构6个，包括：综合股、指导股、年鉴股、编辑室、历史文化研究室、方志馆。</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从决算单位构成看，濮阳县地方史志办公室部门决算包括：本级决算。纳入本部门2019年度部门决算编制范围的单位共1个，没有下属二级预算单位，本级决算即汇总决算。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ind w:firstLine="960" w:firstLineChars="2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2019年度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470" w:type="dxa"/>
        <w:tblInd w:w="0" w:type="dxa"/>
        <w:shd w:val="clear" w:color="auto" w:fill="auto"/>
        <w:tblLayout w:type="autofit"/>
        <w:tblCellMar>
          <w:top w:w="0" w:type="dxa"/>
          <w:left w:w="0" w:type="dxa"/>
          <w:bottom w:w="0" w:type="dxa"/>
          <w:right w:w="0" w:type="dxa"/>
        </w:tblCellMar>
      </w:tblPr>
      <w:tblGrid>
        <w:gridCol w:w="4967"/>
        <w:gridCol w:w="693"/>
        <w:gridCol w:w="1022"/>
        <w:gridCol w:w="4967"/>
        <w:gridCol w:w="693"/>
        <w:gridCol w:w="2128"/>
      </w:tblGrid>
      <w:tr>
        <w:tblPrEx>
          <w:shd w:val="clear" w:color="auto" w:fill="auto"/>
          <w:tblCellMar>
            <w:top w:w="0" w:type="dxa"/>
            <w:left w:w="0" w:type="dxa"/>
            <w:bottom w:w="0" w:type="dxa"/>
            <w:right w:w="0" w:type="dxa"/>
          </w:tblCellMar>
        </w:tblPrEx>
        <w:trPr>
          <w:trHeight w:val="384" w:hRule="atLeast"/>
        </w:trPr>
        <w:tc>
          <w:tcPr>
            <w:tcW w:w="14470" w:type="dxa"/>
            <w:gridSpan w:val="6"/>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130.30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121.15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9.15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130.30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130.30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130.30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130.30</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97" w:type="pct"/>
        <w:tblInd w:w="0" w:type="dxa"/>
        <w:shd w:val="clear" w:color="auto" w:fill="auto"/>
        <w:tblLayout w:type="autofit"/>
        <w:tblCellMar>
          <w:top w:w="0" w:type="dxa"/>
          <w:left w:w="0" w:type="dxa"/>
          <w:bottom w:w="0" w:type="dxa"/>
          <w:right w:w="0" w:type="dxa"/>
        </w:tblCellMar>
      </w:tblPr>
      <w:tblGrid>
        <w:gridCol w:w="2691"/>
        <w:gridCol w:w="3765"/>
        <w:gridCol w:w="1280"/>
        <w:gridCol w:w="1330"/>
        <w:gridCol w:w="1473"/>
        <w:gridCol w:w="468"/>
        <w:gridCol w:w="838"/>
        <w:gridCol w:w="662"/>
        <w:gridCol w:w="1467"/>
      </w:tblGrid>
      <w:tr>
        <w:tblPrEx>
          <w:shd w:val="clear" w:color="auto" w:fill="auto"/>
          <w:tblCellMar>
            <w:top w:w="0" w:type="dxa"/>
            <w:left w:w="0" w:type="dxa"/>
            <w:bottom w:w="0" w:type="dxa"/>
            <w:right w:w="0" w:type="dxa"/>
          </w:tblCellMar>
        </w:tblPrEx>
        <w:trPr>
          <w:trHeight w:val="384" w:hRule="atLeast"/>
        </w:trPr>
        <w:tc>
          <w:tcPr>
            <w:tcW w:w="5000" w:type="pct"/>
            <w:gridSpan w:val="9"/>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648" w:hRule="atLeast"/>
        </w:trPr>
        <w:tc>
          <w:tcPr>
            <w:tcW w:w="5000" w:type="pct"/>
            <w:gridSpan w:val="9"/>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231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58"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76"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27"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67"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30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237"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2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963"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46"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0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3"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6"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0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3"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6"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58"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0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7"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2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10"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8"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7"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7"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7"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2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2310"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w:t>
            </w:r>
            <w:r>
              <w:rPr>
                <w:rFonts w:hint="eastAsia" w:ascii="宋体" w:hAnsi="宋体" w:cs="宋体"/>
                <w:b/>
                <w:i w:val="0"/>
                <w:color w:val="000000"/>
                <w:kern w:val="0"/>
                <w:sz w:val="22"/>
                <w:szCs w:val="22"/>
                <w:u w:val="none"/>
                <w:lang w:val="en-US" w:eastAsia="zh-CN" w:bidi="ar"/>
              </w:rPr>
              <w:t>30.30</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w:t>
            </w:r>
            <w:r>
              <w:rPr>
                <w:rFonts w:hint="eastAsia" w:ascii="宋体" w:hAnsi="宋体" w:cs="宋体"/>
                <w:b/>
                <w:i w:val="0"/>
                <w:color w:val="000000"/>
                <w:kern w:val="0"/>
                <w:sz w:val="22"/>
                <w:szCs w:val="22"/>
                <w:u w:val="none"/>
                <w:lang w:val="en-US" w:eastAsia="zh-CN" w:bidi="ar"/>
              </w:rPr>
              <w:t>30.30</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21.15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2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0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3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2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4997" w:type="pct"/>
        <w:tblInd w:w="0" w:type="dxa"/>
        <w:shd w:val="clear" w:color="auto" w:fill="auto"/>
        <w:tblLayout w:type="autofit"/>
        <w:tblCellMar>
          <w:top w:w="0" w:type="dxa"/>
          <w:left w:w="0" w:type="dxa"/>
          <w:bottom w:w="0" w:type="dxa"/>
          <w:right w:w="0" w:type="dxa"/>
        </w:tblCellMar>
      </w:tblPr>
      <w:tblGrid>
        <w:gridCol w:w="2688"/>
        <w:gridCol w:w="3764"/>
        <w:gridCol w:w="1106"/>
        <w:gridCol w:w="1517"/>
        <w:gridCol w:w="1148"/>
        <w:gridCol w:w="1149"/>
        <w:gridCol w:w="1149"/>
        <w:gridCol w:w="1453"/>
      </w:tblGrid>
      <w:tr>
        <w:tblPrEx>
          <w:shd w:val="clear" w:color="auto" w:fill="auto"/>
          <w:tblCellMar>
            <w:top w:w="0" w:type="dxa"/>
            <w:left w:w="0" w:type="dxa"/>
            <w:bottom w:w="0" w:type="dxa"/>
            <w:right w:w="0" w:type="dxa"/>
          </w:tblCellMar>
        </w:tblPrEx>
        <w:trPr>
          <w:trHeight w:val="384" w:hRule="atLeast"/>
        </w:trPr>
        <w:tc>
          <w:tcPr>
            <w:tcW w:w="5000" w:type="pct"/>
            <w:gridSpan w:val="8"/>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648" w:hRule="atLeast"/>
        </w:trPr>
        <w:tc>
          <w:tcPr>
            <w:tcW w:w="5000" w:type="pct"/>
            <w:gridSpan w:val="8"/>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2308" w:type="pct"/>
            <w:gridSpan w:val="2"/>
            <w:tcBorders>
              <w:top w:val="single" w:color="000000" w:sz="4" w:space="0"/>
              <w:left w:val="single" w:color="000000" w:sz="4" w:space="0"/>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96" w:type="pct"/>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43" w:type="pct"/>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11" w:type="pct"/>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11" w:type="pct"/>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11" w:type="pct"/>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15" w:type="pct"/>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62" w:type="pct"/>
            <w:vMerge w:val="restart"/>
            <w:tcBorders>
              <w:top w:val="nil"/>
              <w:left w:val="single" w:color="000000" w:sz="4" w:space="0"/>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46" w:type="pct"/>
            <w:vMerge w:val="restart"/>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6"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2" w:type="pct"/>
            <w:vMerge w:val="continue"/>
            <w:tcBorders>
              <w:top w:val="nil"/>
              <w:left w:val="single" w:color="000000" w:sz="4" w:space="0"/>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6" w:type="pct"/>
            <w:vMerge w:val="continue"/>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96"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2" w:type="pct"/>
            <w:vMerge w:val="continue"/>
            <w:tcBorders>
              <w:top w:val="nil"/>
              <w:left w:val="single" w:color="000000" w:sz="4" w:space="0"/>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46" w:type="pct"/>
            <w:vMerge w:val="continue"/>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96"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8" w:type="pct"/>
            <w:gridSpan w:val="2"/>
            <w:tcBorders>
              <w:top w:val="nil"/>
              <w:left w:val="single" w:color="000000" w:sz="4" w:space="0"/>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96" w:type="pct"/>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3" w:type="pct"/>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11" w:type="pct"/>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1" w:type="pct"/>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1" w:type="pct"/>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5" w:type="pct"/>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308" w:type="pct"/>
            <w:gridSpan w:val="2"/>
            <w:tcBorders>
              <w:top w:val="nil"/>
              <w:left w:val="single" w:color="000000" w:sz="4" w:space="0"/>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130</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30</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30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.15</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62"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4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4997" w:type="pct"/>
        <w:tblInd w:w="0" w:type="dxa"/>
        <w:shd w:val="clear" w:color="auto" w:fill="auto"/>
        <w:tblLayout w:type="autofit"/>
        <w:tblCellMar>
          <w:top w:w="0" w:type="dxa"/>
          <w:left w:w="0" w:type="dxa"/>
          <w:bottom w:w="0" w:type="dxa"/>
          <w:right w:w="0" w:type="dxa"/>
        </w:tblCellMar>
      </w:tblPr>
      <w:tblGrid>
        <w:gridCol w:w="3063"/>
        <w:gridCol w:w="511"/>
        <w:gridCol w:w="1568"/>
        <w:gridCol w:w="3622"/>
        <w:gridCol w:w="511"/>
        <w:gridCol w:w="1562"/>
        <w:gridCol w:w="1563"/>
        <w:gridCol w:w="1574"/>
      </w:tblGrid>
      <w:tr>
        <w:tblPrEx>
          <w:shd w:val="clear" w:color="auto" w:fill="auto"/>
          <w:tblCellMar>
            <w:top w:w="0" w:type="dxa"/>
            <w:left w:w="0" w:type="dxa"/>
            <w:bottom w:w="0" w:type="dxa"/>
            <w:right w:w="0" w:type="dxa"/>
          </w:tblCellMar>
        </w:tblPrEx>
        <w:trPr>
          <w:trHeight w:val="384" w:hRule="atLeast"/>
        </w:trPr>
        <w:tc>
          <w:tcPr>
            <w:tcW w:w="5000" w:type="pct"/>
            <w:gridSpan w:val="8"/>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64" w:hRule="atLeast"/>
        </w:trPr>
        <w:tc>
          <w:tcPr>
            <w:tcW w:w="10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8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8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59"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59"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0"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64" w:hRule="atLeast"/>
        </w:trPr>
        <w:tc>
          <w:tcPr>
            <w:tcW w:w="1096"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tc>
        <w:tc>
          <w:tcPr>
            <w:tcW w:w="18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9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8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59"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59"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0"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184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159" w:type="pct"/>
            <w:gridSpan w:val="5"/>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1096"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3"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0"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29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3"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59"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59"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560"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1096"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3"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9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3"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59"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129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30</w:t>
            </w:r>
          </w:p>
        </w:tc>
        <w:tc>
          <w:tcPr>
            <w:tcW w:w="56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5000" w:type="pct"/>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2" w:type="dxa"/>
        <w:tblInd w:w="0" w:type="dxa"/>
        <w:shd w:val="clear" w:color="auto" w:fill="auto"/>
        <w:tblLayout w:type="autofit"/>
        <w:tblCellMar>
          <w:top w:w="0" w:type="dxa"/>
          <w:left w:w="0" w:type="dxa"/>
          <w:bottom w:w="0" w:type="dxa"/>
          <w:right w:w="0" w:type="dxa"/>
        </w:tblCellMar>
      </w:tblPr>
      <w:tblGrid>
        <w:gridCol w:w="3341"/>
        <w:gridCol w:w="38"/>
        <w:gridCol w:w="38"/>
        <w:gridCol w:w="4793"/>
        <w:gridCol w:w="1552"/>
        <w:gridCol w:w="1876"/>
        <w:gridCol w:w="2344"/>
      </w:tblGrid>
      <w:tr>
        <w:tblPrEx>
          <w:shd w:val="clear" w:color="auto" w:fill="auto"/>
          <w:tblCellMar>
            <w:top w:w="0" w:type="dxa"/>
            <w:left w:w="0" w:type="dxa"/>
            <w:bottom w:w="0" w:type="dxa"/>
            <w:right w:w="0" w:type="dxa"/>
          </w:tblCellMar>
        </w:tblPrEx>
        <w:trPr>
          <w:trHeight w:val="384" w:hRule="atLeast"/>
        </w:trPr>
        <w:tc>
          <w:tcPr>
            <w:tcW w:w="13982" w:type="dxa"/>
            <w:gridSpan w:val="7"/>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259"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275" w:type="dxa"/>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47"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6"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6"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275"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47"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75"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47"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130</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95" w:type="pct"/>
        <w:tblInd w:w="0" w:type="dxa"/>
        <w:shd w:val="clear" w:color="auto" w:fill="auto"/>
        <w:tblLayout w:type="fixed"/>
        <w:tblCellMar>
          <w:top w:w="0" w:type="dxa"/>
          <w:left w:w="0" w:type="dxa"/>
          <w:bottom w:w="0" w:type="dxa"/>
          <w:right w:w="0" w:type="dxa"/>
        </w:tblCellMar>
      </w:tblPr>
      <w:tblGrid>
        <w:gridCol w:w="616"/>
        <w:gridCol w:w="3383"/>
        <w:gridCol w:w="617"/>
        <w:gridCol w:w="652"/>
        <w:gridCol w:w="2298"/>
        <w:gridCol w:w="851"/>
        <w:gridCol w:w="749"/>
        <w:gridCol w:w="4350"/>
        <w:gridCol w:w="733"/>
      </w:tblGrid>
      <w:tr>
        <w:tblPrEx>
          <w:shd w:val="clear" w:color="auto" w:fill="auto"/>
          <w:tblCellMar>
            <w:top w:w="0" w:type="dxa"/>
            <w:left w:w="0" w:type="dxa"/>
            <w:bottom w:w="0" w:type="dxa"/>
            <w:right w:w="0" w:type="dxa"/>
          </w:tblCellMar>
        </w:tblPrEx>
        <w:trPr>
          <w:trHeight w:val="384" w:hRule="atLeast"/>
        </w:trPr>
        <w:tc>
          <w:tcPr>
            <w:tcW w:w="5000" w:type="pct"/>
            <w:gridSpan w:val="9"/>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auto"/>
                <w:sz w:val="20"/>
                <w:szCs w:val="20"/>
                <w:u w:val="none"/>
                <w:shd w:val="clear" w:color="auto" w:fill="auto"/>
              </w:rPr>
            </w:pPr>
            <w:r>
              <w:rPr>
                <w:rFonts w:hint="eastAsia" w:ascii="宋体" w:hAnsi="宋体" w:eastAsia="宋体" w:cs="宋体"/>
                <w:i w:val="0"/>
                <w:color w:val="auto"/>
                <w:kern w:val="0"/>
                <w:sz w:val="30"/>
                <w:szCs w:val="30"/>
                <w:u w:val="none"/>
                <w:shd w:val="clear" w:color="auto" w:fill="auto"/>
                <w:lang w:val="en-US" w:eastAsia="zh-CN" w:bidi="ar"/>
              </w:rPr>
              <w:t>一般公共预算财政拨款基本支出决算表</w:t>
            </w:r>
          </w:p>
        </w:tc>
      </w:tr>
      <w:tr>
        <w:tblPrEx>
          <w:tblCellMar>
            <w:top w:w="0" w:type="dxa"/>
            <w:left w:w="0" w:type="dxa"/>
            <w:bottom w:w="0" w:type="dxa"/>
            <w:right w:w="0" w:type="dxa"/>
          </w:tblCellMar>
        </w:tblPrEx>
        <w:trPr>
          <w:trHeight w:val="264" w:hRule="atLeast"/>
        </w:trPr>
        <w:tc>
          <w:tcPr>
            <w:tcW w:w="21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118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1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2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80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9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6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152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57"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公开06表</w:t>
            </w:r>
          </w:p>
        </w:tc>
      </w:tr>
      <w:tr>
        <w:tblPrEx>
          <w:tblCellMar>
            <w:top w:w="0" w:type="dxa"/>
            <w:left w:w="0" w:type="dxa"/>
            <w:bottom w:w="0" w:type="dxa"/>
            <w:right w:w="0" w:type="dxa"/>
          </w:tblCellMar>
        </w:tblPrEx>
        <w:trPr>
          <w:trHeight w:val="264" w:hRule="atLeast"/>
        </w:trPr>
        <w:tc>
          <w:tcPr>
            <w:tcW w:w="1403" w:type="pct"/>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部门：濮阳县地方史志办公室</w:t>
            </w:r>
          </w:p>
        </w:tc>
        <w:tc>
          <w:tcPr>
            <w:tcW w:w="21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2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80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9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26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auto"/>
                <w:sz w:val="20"/>
                <w:szCs w:val="20"/>
                <w:u w:val="none"/>
                <w:shd w:val="clear" w:color="auto" w:fill="auto"/>
              </w:rPr>
            </w:pPr>
          </w:p>
        </w:tc>
        <w:tc>
          <w:tcPr>
            <w:tcW w:w="1783" w:type="pct"/>
            <w:gridSpan w:val="2"/>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金额单位：</w:t>
            </w:r>
            <w:r>
              <w:rPr>
                <w:rFonts w:hint="eastAsia" w:ascii="宋体" w:hAnsi="宋体" w:cs="宋体"/>
                <w:i w:val="0"/>
                <w:color w:val="auto"/>
                <w:kern w:val="0"/>
                <w:sz w:val="18"/>
                <w:szCs w:val="18"/>
                <w:u w:val="none"/>
                <w:shd w:val="clear" w:color="auto" w:fill="auto"/>
                <w:lang w:val="en-US" w:eastAsia="zh-CN" w:bidi="ar"/>
              </w:rPr>
              <w:t>万</w:t>
            </w:r>
            <w:r>
              <w:rPr>
                <w:rFonts w:hint="eastAsia" w:ascii="宋体" w:hAnsi="宋体" w:eastAsia="宋体" w:cs="宋体"/>
                <w:i w:val="0"/>
                <w:color w:val="auto"/>
                <w:kern w:val="0"/>
                <w:sz w:val="18"/>
                <w:szCs w:val="18"/>
                <w:u w:val="none"/>
                <w:shd w:val="clear" w:color="auto" w:fill="auto"/>
                <w:lang w:val="en-US" w:eastAsia="zh-CN" w:bidi="ar"/>
              </w:rPr>
              <w:t>元</w:t>
            </w:r>
          </w:p>
        </w:tc>
      </w:tr>
      <w:tr>
        <w:tblPrEx>
          <w:tblCellMar>
            <w:top w:w="0" w:type="dxa"/>
            <w:left w:w="0" w:type="dxa"/>
            <w:bottom w:w="0" w:type="dxa"/>
            <w:right w:w="0" w:type="dxa"/>
          </w:tblCellMar>
        </w:tblPrEx>
        <w:trPr>
          <w:trHeight w:val="308" w:hRule="atLeast"/>
        </w:trPr>
        <w:tc>
          <w:tcPr>
            <w:tcW w:w="161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人员经费</w:t>
            </w:r>
          </w:p>
        </w:tc>
        <w:tc>
          <w:tcPr>
            <w:tcW w:w="3380" w:type="pct"/>
            <w:gridSpan w:val="6"/>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公用经费</w:t>
            </w:r>
          </w:p>
        </w:tc>
      </w:tr>
      <w:tr>
        <w:tblPrEx>
          <w:tblCellMar>
            <w:top w:w="0" w:type="dxa"/>
            <w:left w:w="0" w:type="dxa"/>
            <w:bottom w:w="0" w:type="dxa"/>
            <w:right w:w="0" w:type="dxa"/>
          </w:tblCellMar>
        </w:tblPrEx>
        <w:trPr>
          <w:trHeight w:val="308" w:hRule="atLeast"/>
        </w:trPr>
        <w:tc>
          <w:tcPr>
            <w:tcW w:w="216"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科目编码</w:t>
            </w:r>
          </w:p>
        </w:tc>
        <w:tc>
          <w:tcPr>
            <w:tcW w:w="1187"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科目名称</w:t>
            </w:r>
          </w:p>
        </w:tc>
        <w:tc>
          <w:tcPr>
            <w:tcW w:w="2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决算数</w:t>
            </w:r>
          </w:p>
        </w:tc>
        <w:tc>
          <w:tcPr>
            <w:tcW w:w="228"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科目编码</w:t>
            </w:r>
          </w:p>
        </w:tc>
        <w:tc>
          <w:tcPr>
            <w:tcW w:w="80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科目名称</w:t>
            </w:r>
          </w:p>
        </w:tc>
        <w:tc>
          <w:tcPr>
            <w:tcW w:w="298"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决算数</w:t>
            </w:r>
          </w:p>
        </w:tc>
        <w:tc>
          <w:tcPr>
            <w:tcW w:w="262"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科目编码</w:t>
            </w:r>
          </w:p>
        </w:tc>
        <w:tc>
          <w:tcPr>
            <w:tcW w:w="152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科目名称</w:t>
            </w:r>
          </w:p>
        </w:tc>
        <w:tc>
          <w:tcPr>
            <w:tcW w:w="257"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决算数</w:t>
            </w:r>
          </w:p>
        </w:tc>
      </w:tr>
      <w:tr>
        <w:tblPrEx>
          <w:tblCellMar>
            <w:top w:w="0" w:type="dxa"/>
            <w:left w:w="0" w:type="dxa"/>
            <w:bottom w:w="0" w:type="dxa"/>
            <w:right w:w="0" w:type="dxa"/>
          </w:tblCellMar>
        </w:tblPrEx>
        <w:trPr>
          <w:trHeight w:val="308" w:hRule="atLeast"/>
        </w:trPr>
        <w:tc>
          <w:tcPr>
            <w:tcW w:w="216"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1187"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2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22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80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298"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26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152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c>
          <w:tcPr>
            <w:tcW w:w="257"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shd w:val="clear" w:color="auto" w:fill="auto"/>
              </w:rPr>
            </w:pP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工资福利支出</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96</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42</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商品和服务支出</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11</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88</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307</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债务利息及费用支出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30101</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基本工资</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82</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0</w:t>
            </w:r>
            <w:r>
              <w:rPr>
                <w:rFonts w:hint="eastAsia" w:ascii="宋体" w:hAnsi="宋体" w:cs="宋体"/>
                <w:i w:val="0"/>
                <w:color w:val="auto"/>
                <w:kern w:val="0"/>
                <w:sz w:val="22"/>
                <w:szCs w:val="22"/>
                <w:u w:val="none"/>
                <w:shd w:val="clear" w:color="auto" w:fill="auto"/>
                <w:lang w:val="en-US" w:eastAsia="zh-CN" w:bidi="ar"/>
              </w:rPr>
              <w:t>3</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30201</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办公费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2</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08</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30701</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国内债务付息</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30102</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津贴补贴</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30202</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印刷费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2</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50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30702</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国外债务付息</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7"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30103</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奖金</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4</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09</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30203</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咨询费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资本性支出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30106</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伙食补助费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30204</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手续费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31001</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房屋建筑物购建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30107</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绩效工资</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1</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15</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30205</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水费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31002</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办公设备购置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30108</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机关事业单位基本养老保险缴费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9</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15</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30206</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电费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31003</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专用设备购置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30109</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职业年金缴费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30207</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邮电费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cs="宋体"/>
                <w:i w:val="0"/>
                <w:color w:val="auto"/>
                <w:kern w:val="0"/>
                <w:sz w:val="22"/>
                <w:szCs w:val="22"/>
                <w:u w:val="none"/>
                <w:shd w:val="clear" w:color="auto" w:fill="auto"/>
                <w:lang w:val="en-US" w:eastAsia="zh-CN" w:bidi="ar"/>
              </w:rPr>
              <w:t>0.</w:t>
            </w:r>
            <w:r>
              <w:rPr>
                <w:rFonts w:hint="eastAsia" w:ascii="宋体" w:hAnsi="宋体" w:eastAsia="宋体" w:cs="宋体"/>
                <w:i w:val="0"/>
                <w:color w:val="auto"/>
                <w:kern w:val="0"/>
                <w:sz w:val="22"/>
                <w:szCs w:val="22"/>
                <w:u w:val="none"/>
                <w:shd w:val="clear" w:color="auto" w:fill="auto"/>
                <w:lang w:val="en-US" w:eastAsia="zh-CN" w:bidi="ar"/>
              </w:rPr>
              <w:t>30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31005</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基础设施建设</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30110</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职工基本医疗保险缴费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30208</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取暖费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31006</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大型修缮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30111</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公务员医疗补助缴费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30209</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物业管理费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31007</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信息网络及软件购置更新</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30112</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其他社会保障缴费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30211</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差旅费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cs="宋体"/>
                <w:i w:val="0"/>
                <w:color w:val="auto"/>
                <w:kern w:val="0"/>
                <w:sz w:val="22"/>
                <w:szCs w:val="22"/>
                <w:u w:val="none"/>
                <w:shd w:val="clear" w:color="auto" w:fill="auto"/>
                <w:lang w:val="en-US" w:eastAsia="zh-CN" w:bidi="ar"/>
              </w:rPr>
              <w:t>0.</w:t>
            </w:r>
            <w:r>
              <w:rPr>
                <w:rFonts w:hint="eastAsia" w:ascii="宋体" w:hAnsi="宋体" w:eastAsia="宋体" w:cs="宋体"/>
                <w:i w:val="0"/>
                <w:color w:val="auto"/>
                <w:kern w:val="0"/>
                <w:sz w:val="22"/>
                <w:szCs w:val="22"/>
                <w:u w:val="none"/>
                <w:shd w:val="clear" w:color="auto" w:fill="auto"/>
                <w:lang w:val="en-US" w:eastAsia="zh-CN" w:bidi="ar"/>
              </w:rPr>
              <w:t>50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31008</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物资储备</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30113</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住房公积金</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30212</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因公出国（境）费用</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31009</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土地补偿</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30114</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医疗费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30213</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维修（护）费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31010</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安置补助</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30199</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其他工资福利支出</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30214</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租赁费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31011</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地上附着物和青苗补偿</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对个人和家庭的补助</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30215</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会议费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31012</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拆迁补偿</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30301</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离休费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30216</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培训费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cs="宋体"/>
                <w:i w:val="0"/>
                <w:color w:val="auto"/>
                <w:kern w:val="0"/>
                <w:sz w:val="22"/>
                <w:szCs w:val="22"/>
                <w:u w:val="none"/>
                <w:shd w:val="clear" w:color="auto" w:fill="auto"/>
                <w:lang w:val="en-US" w:eastAsia="zh-CN" w:bidi="ar"/>
              </w:rPr>
              <w:t>0.</w:t>
            </w:r>
            <w:r>
              <w:rPr>
                <w:rFonts w:hint="eastAsia" w:ascii="宋体" w:hAnsi="宋体" w:eastAsia="宋体" w:cs="宋体"/>
                <w:i w:val="0"/>
                <w:color w:val="auto"/>
                <w:kern w:val="0"/>
                <w:sz w:val="22"/>
                <w:szCs w:val="22"/>
                <w:u w:val="none"/>
                <w:shd w:val="clear" w:color="auto" w:fill="auto"/>
                <w:lang w:val="en-US" w:eastAsia="zh-CN" w:bidi="ar"/>
              </w:rPr>
              <w:t>20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31013</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公务用车购置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30302</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退休费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30217</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公务接待费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31019</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其他交通工具购置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30303</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退职（役）费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30218</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专用材料费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31021</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文物和陈列品购置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30304</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抚恤金</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30224</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被装购置费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31022</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无形资产购置</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30305</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生活补助</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30225</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专用燃料费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31099</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其他资本性支出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30306</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救济费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30226</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劳务费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399</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其他支出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30307</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医疗费补助</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30227</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委托业务费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39906</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赠与</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30308</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助学金</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30228</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工会经费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auto"/>
                <w:sz w:val="22"/>
                <w:szCs w:val="22"/>
                <w:u w:val="none"/>
                <w:shd w:val="clear" w:color="auto" w:fill="auto"/>
                <w:lang w:val="en-US"/>
              </w:rPr>
            </w:pPr>
            <w:r>
              <w:rPr>
                <w:rFonts w:hint="eastAsia" w:ascii="宋体" w:hAnsi="宋体" w:cs="宋体"/>
                <w:i w:val="0"/>
                <w:color w:val="auto"/>
                <w:kern w:val="0"/>
                <w:sz w:val="22"/>
                <w:szCs w:val="22"/>
                <w:u w:val="none"/>
                <w:shd w:val="clear" w:color="auto" w:fill="auto"/>
                <w:lang w:val="en-US" w:eastAsia="zh-CN" w:bidi="ar"/>
              </w:rPr>
              <w:t>0.</w:t>
            </w:r>
            <w:r>
              <w:rPr>
                <w:rFonts w:hint="eastAsia" w:ascii="宋体" w:hAnsi="宋体" w:eastAsia="宋体" w:cs="宋体"/>
                <w:i w:val="0"/>
                <w:color w:val="auto"/>
                <w:kern w:val="0"/>
                <w:sz w:val="22"/>
                <w:szCs w:val="22"/>
                <w:u w:val="none"/>
                <w:shd w:val="clear" w:color="auto" w:fill="auto"/>
                <w:lang w:val="en-US" w:eastAsia="zh-CN" w:bidi="ar"/>
              </w:rPr>
              <w:t>4</w:t>
            </w:r>
            <w:r>
              <w:rPr>
                <w:rFonts w:hint="eastAsia" w:ascii="宋体" w:hAnsi="宋体" w:cs="宋体"/>
                <w:i w:val="0"/>
                <w:color w:val="auto"/>
                <w:kern w:val="0"/>
                <w:sz w:val="22"/>
                <w:szCs w:val="22"/>
                <w:u w:val="none"/>
                <w:shd w:val="clear" w:color="auto" w:fill="auto"/>
                <w:lang w:val="en-US" w:eastAsia="zh-CN" w:bidi="ar"/>
              </w:rPr>
              <w:t>2</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39907</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国家赔偿费用支出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30309</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奖励金</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30229</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福利费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39908</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对民间非营利组织和群众性自治组织补贴</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30310</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个人农业生产补贴</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30231</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公务用车运行维护费</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39999</w:t>
            </w: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其他支出</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30399</w:t>
            </w: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其他对个人和家庭的补助</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30239</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其他交通费用</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5</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88</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shd w:val="clear" w:color="auto" w:fill="auto"/>
              </w:rPr>
            </w:pP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shd w:val="clear" w:color="auto" w:fill="auto"/>
              </w:rPr>
            </w:pP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30240</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税金及附加费用</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shd w:val="clear" w:color="auto" w:fill="auto"/>
              </w:rPr>
            </w:pPr>
          </w:p>
        </w:tc>
      </w:tr>
      <w:tr>
        <w:tblPrEx>
          <w:tblCellMar>
            <w:top w:w="0" w:type="dxa"/>
            <w:left w:w="0" w:type="dxa"/>
            <w:bottom w:w="0" w:type="dxa"/>
            <w:right w:w="0" w:type="dxa"/>
          </w:tblCellMar>
        </w:tblPrEx>
        <w:trPr>
          <w:trHeight w:val="308" w:hRule="atLeast"/>
        </w:trPr>
        <w:tc>
          <w:tcPr>
            <w:tcW w:w="2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11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shd w:val="clear" w:color="auto" w:fill="auto"/>
              </w:rPr>
            </w:pPr>
          </w:p>
        </w:tc>
        <w:tc>
          <w:tcPr>
            <w:tcW w:w="2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30299</w:t>
            </w:r>
          </w:p>
        </w:tc>
        <w:tc>
          <w:tcPr>
            <w:tcW w:w="8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 xml:space="preserve">  其他商品和服务支出</w:t>
            </w:r>
          </w:p>
        </w:tc>
        <w:tc>
          <w:tcPr>
            <w:tcW w:w="29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0.00</w:t>
            </w:r>
          </w:p>
        </w:tc>
        <w:tc>
          <w:tcPr>
            <w:tcW w:w="26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152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shd w:val="clear" w:color="auto" w:fill="auto"/>
              </w:rPr>
            </w:pP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shd w:val="clear" w:color="auto" w:fill="auto"/>
              </w:rPr>
            </w:pPr>
          </w:p>
        </w:tc>
      </w:tr>
      <w:tr>
        <w:tblPrEx>
          <w:tblCellMar>
            <w:top w:w="0" w:type="dxa"/>
            <w:left w:w="0" w:type="dxa"/>
            <w:bottom w:w="0" w:type="dxa"/>
            <w:right w:w="0" w:type="dxa"/>
          </w:tblCellMar>
        </w:tblPrEx>
        <w:trPr>
          <w:trHeight w:val="308" w:hRule="atLeast"/>
        </w:trPr>
        <w:tc>
          <w:tcPr>
            <w:tcW w:w="1403"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人员经费合计</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96</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42</w:t>
            </w:r>
          </w:p>
        </w:tc>
        <w:tc>
          <w:tcPr>
            <w:tcW w:w="3123" w:type="pct"/>
            <w:gridSpan w:val="5"/>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公用经费合计</w:t>
            </w:r>
          </w:p>
        </w:tc>
        <w:tc>
          <w:tcPr>
            <w:tcW w:w="25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11</w:t>
            </w:r>
            <w:r>
              <w:rPr>
                <w:rFonts w:hint="eastAsia" w:ascii="宋体" w:hAnsi="宋体" w:cs="宋体"/>
                <w:i w:val="0"/>
                <w:color w:val="auto"/>
                <w:kern w:val="0"/>
                <w:sz w:val="22"/>
                <w:szCs w:val="22"/>
                <w:u w:val="none"/>
                <w:shd w:val="clear" w:color="auto" w:fill="auto"/>
                <w:lang w:val="en-US" w:eastAsia="zh-CN" w:bidi="ar"/>
              </w:rPr>
              <w:t>.</w:t>
            </w:r>
            <w:r>
              <w:rPr>
                <w:rFonts w:hint="eastAsia" w:ascii="宋体" w:hAnsi="宋体" w:eastAsia="宋体" w:cs="宋体"/>
                <w:i w:val="0"/>
                <w:color w:val="auto"/>
                <w:kern w:val="0"/>
                <w:sz w:val="22"/>
                <w:szCs w:val="22"/>
                <w:u w:val="none"/>
                <w:shd w:val="clear" w:color="auto" w:fill="auto"/>
                <w:lang w:val="en-US" w:eastAsia="zh-CN" w:bidi="ar"/>
              </w:rPr>
              <w:t>88</w:t>
            </w:r>
          </w:p>
        </w:tc>
      </w:tr>
      <w:tr>
        <w:tblPrEx>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20" w:type="dxa"/>
        <w:tblInd w:w="0" w:type="dxa"/>
        <w:shd w:val="clear" w:color="auto" w:fill="auto"/>
        <w:tblLayout w:type="fixed"/>
        <w:tblCellMar>
          <w:top w:w="0" w:type="dxa"/>
          <w:left w:w="0" w:type="dxa"/>
          <w:bottom w:w="0" w:type="dxa"/>
          <w:right w:w="0" w:type="dxa"/>
        </w:tblCellMar>
      </w:tblPr>
      <w:tblGrid>
        <w:gridCol w:w="1090"/>
        <w:gridCol w:w="1484"/>
        <w:gridCol w:w="1574"/>
        <w:gridCol w:w="1073"/>
        <w:gridCol w:w="1073"/>
        <w:gridCol w:w="1073"/>
        <w:gridCol w:w="1073"/>
        <w:gridCol w:w="1073"/>
        <w:gridCol w:w="1073"/>
        <w:gridCol w:w="1073"/>
        <w:gridCol w:w="1073"/>
        <w:gridCol w:w="1088"/>
      </w:tblGrid>
      <w:tr>
        <w:tblPrEx>
          <w:shd w:val="clear" w:color="auto" w:fill="auto"/>
          <w:tblCellMar>
            <w:top w:w="0" w:type="dxa"/>
            <w:left w:w="0" w:type="dxa"/>
            <w:bottom w:w="0" w:type="dxa"/>
            <w:right w:w="0" w:type="dxa"/>
          </w:tblCellMar>
        </w:tblPrEx>
        <w:trPr>
          <w:trHeight w:val="856" w:hRule="atLeast"/>
        </w:trPr>
        <w:tc>
          <w:tcPr>
            <w:tcW w:w="13820"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409" w:hRule="atLeast"/>
        </w:trPr>
        <w:tc>
          <w:tcPr>
            <w:tcW w:w="10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8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409" w:hRule="atLeast"/>
        </w:trPr>
        <w:tc>
          <w:tcPr>
            <w:tcW w:w="257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tc>
        <w:tc>
          <w:tcPr>
            <w:tcW w:w="15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6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422" w:hRule="atLeast"/>
        </w:trPr>
        <w:tc>
          <w:tcPr>
            <w:tcW w:w="7367" w:type="dxa"/>
            <w:gridSpan w:val="6"/>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453" w:type="dxa"/>
            <w:gridSpan w:val="6"/>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22" w:hRule="atLeast"/>
        </w:trPr>
        <w:tc>
          <w:tcPr>
            <w:tcW w:w="1090" w:type="dxa"/>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84"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20" w:type="dxa"/>
            <w:gridSpan w:val="3"/>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73"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073"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73"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219" w:type="dxa"/>
            <w:gridSpan w:val="3"/>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88"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812" w:hRule="atLeast"/>
        </w:trPr>
        <w:tc>
          <w:tcPr>
            <w:tcW w:w="1090" w:type="dxa"/>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4"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4"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73"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88"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2" w:hRule="atLeast"/>
        </w:trPr>
        <w:tc>
          <w:tcPr>
            <w:tcW w:w="1090" w:type="dxa"/>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4"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4"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8"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22" w:hRule="atLeast"/>
        </w:trPr>
        <w:tc>
          <w:tcPr>
            <w:tcW w:w="10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4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812" w:hRule="atLeast"/>
        </w:trPr>
        <w:tc>
          <w:tcPr>
            <w:tcW w:w="1382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80" w:type="dxa"/>
        <w:tblInd w:w="0" w:type="dxa"/>
        <w:shd w:val="clear" w:color="auto" w:fill="auto"/>
        <w:tblLayout w:type="fixed"/>
        <w:tblCellMar>
          <w:top w:w="0" w:type="dxa"/>
          <w:left w:w="0" w:type="dxa"/>
          <w:bottom w:w="0" w:type="dxa"/>
          <w:right w:w="0" w:type="dxa"/>
        </w:tblCellMar>
      </w:tblPr>
      <w:tblGrid>
        <w:gridCol w:w="2049"/>
        <w:gridCol w:w="258"/>
        <w:gridCol w:w="257"/>
        <w:gridCol w:w="2081"/>
        <w:gridCol w:w="2291"/>
        <w:gridCol w:w="1309"/>
        <w:gridCol w:w="1308"/>
        <w:gridCol w:w="1"/>
        <w:gridCol w:w="1308"/>
        <w:gridCol w:w="1"/>
        <w:gridCol w:w="1308"/>
        <w:gridCol w:w="1309"/>
      </w:tblGrid>
      <w:tr>
        <w:tblPrEx>
          <w:shd w:val="clear" w:color="auto" w:fill="auto"/>
          <w:tblCellMar>
            <w:top w:w="0" w:type="dxa"/>
            <w:left w:w="0" w:type="dxa"/>
            <w:bottom w:w="0" w:type="dxa"/>
            <w:right w:w="0" w:type="dxa"/>
          </w:tblCellMar>
        </w:tblPrEx>
        <w:trPr>
          <w:trHeight w:val="726" w:hRule="atLeast"/>
        </w:trPr>
        <w:tc>
          <w:tcPr>
            <w:tcW w:w="204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98"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c>
          <w:tcPr>
            <w:tcW w:w="130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78" w:hRule="atLeast"/>
        </w:trPr>
        <w:tc>
          <w:tcPr>
            <w:tcW w:w="204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78" w:hRule="atLeast"/>
        </w:trPr>
        <w:tc>
          <w:tcPr>
            <w:tcW w:w="464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部门：濮阳县地方史志办公室</w:t>
            </w:r>
          </w:p>
        </w:tc>
        <w:tc>
          <w:tcPr>
            <w:tcW w:w="22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18"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99" w:hRule="atLeast"/>
        </w:trPr>
        <w:tc>
          <w:tcPr>
            <w:tcW w:w="464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29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3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92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3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94" w:hRule="atLeast"/>
        </w:trPr>
        <w:tc>
          <w:tcPr>
            <w:tcW w:w="256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8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0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4" w:hRule="atLeast"/>
        </w:trPr>
        <w:tc>
          <w:tcPr>
            <w:tcW w:w="256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4" w:hRule="atLeast"/>
        </w:trPr>
        <w:tc>
          <w:tcPr>
            <w:tcW w:w="256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464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99" w:hRule="atLeast"/>
        </w:trPr>
        <w:tc>
          <w:tcPr>
            <w:tcW w:w="464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9" w:hRule="atLeast"/>
        </w:trPr>
        <w:tc>
          <w:tcPr>
            <w:tcW w:w="1348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2019年度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2019年度收、支总计均为130.30万元。与上年度相比，收、支总计各减少13.78万元，下降9.56%。主要原因是人员经费减少。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2019年度收入合计130.30万元，其中：财政拨款收入130.30万元，占100%。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2019年度支出合计130.30万元，其中：基本支出108.30万元，占83.12%；项目支出22万元，占16.88%。</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2019年度财政拨款收、支总计均为130.30万元。与上年度相比，财政拨款收、支总计各减少13.78万元，下降9.56%。主要原因人员经费减少。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2019年度一般公共预算财政拨款支出130.30万元，占本年支出合计的100%。与上年度相比，一般公共预算财政拨款支出减少13.78万元，下降9.56%。主要原因是人员经费减少。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2019年度一般公共预算财政拨款支出130.30万元，主要用于以下方面：一般公共服务（类）支出121.15万元，占92.97%；社会保障和就业支出9.15万元，占7.03%。</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2019年度一般公共预算财政拨款支出年初预算为130.30万元，支出决算为130.30万元，完成年初预算的100%。其中：</w:t>
      </w:r>
    </w:p>
    <w:p>
      <w:pPr>
        <w:numPr>
          <w:ilvl w:val="0"/>
          <w:numId w:val="3"/>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一般公共服务（类）政府办公厅（室）及相关机构事务（款）行政运行（项）。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99.15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99.15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numPr>
          <w:ilvl w:val="0"/>
          <w:numId w:val="3"/>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一般公共服务（类）政府办公厅（室）及相关机构事务（款）</w:t>
      </w:r>
      <w:r>
        <w:rPr>
          <w:rFonts w:hint="eastAsia" w:ascii="仿宋" w:hAnsi="仿宋" w:eastAsia="仿宋" w:cs="仿宋"/>
          <w:b/>
          <w:bCs/>
          <w:sz w:val="32"/>
          <w:szCs w:val="32"/>
          <w:lang w:eastAsia="zh-CN"/>
        </w:rPr>
        <w:t>一般行政管理事务</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22万元，支出决算为22万元，完成年初预算的100%。</w:t>
      </w:r>
    </w:p>
    <w:p>
      <w:pPr>
        <w:numPr>
          <w:ilvl w:val="0"/>
          <w:numId w:val="0"/>
        </w:numPr>
        <w:adjustRightInd w:val="0"/>
        <w:snapToGrid w:val="0"/>
        <w:spacing w:line="360" w:lineRule="auto"/>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（类）行政事业单位离退休（款）</w:t>
      </w:r>
      <w:r>
        <w:rPr>
          <w:rFonts w:hint="eastAsia" w:ascii="仿宋" w:hAnsi="仿宋" w:eastAsia="仿宋" w:cs="仿宋"/>
          <w:b/>
          <w:bCs/>
          <w:sz w:val="32"/>
          <w:szCs w:val="32"/>
          <w:lang w:eastAsia="zh-CN"/>
        </w:rPr>
        <w:t>机关事业单位基本养老保险缴费支出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9.15万元，支出决算数为9.15万元，完成年初预算的100%。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108.30万元。其中：人员经费96.42万元，主要包括：基本工资、奖金、绩效工资、机关事业单位基本养老保险缴费；公用经费11.88万元，主要包括：办公费、印刷费、邮电费、差旅费、培训费、工会经费、其他交通费用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占0%；公务用车购置及运行费支出决算0万元，完成预算的0%，占0%；公务接待费支出决算0万元，完成预算的0%，占0%。具体情况如下：</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wave"/>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w:t>
      </w:r>
      <w:r>
        <w:rPr>
          <w:rFonts w:hint="eastAsia" w:ascii="仿宋_GB2312" w:hAnsi="仿宋_GB2312" w:eastAsia="仿宋_GB2312" w:cs="仿宋_GB2312"/>
          <w:sz w:val="32"/>
          <w:szCs w:val="32"/>
          <w:u w:val="none"/>
        </w:rPr>
        <w:t>全年因公出国（境）团组</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个，累计</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人次。</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 年，按照全面推进预算绩效管理的要求，依法有效得合理使用财政资金，严格的执行财政收支预算，提高了资金使用效率。</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2019年，我单位实行项目绩效管理，主要开展了《濮阳县年鉴》编纂、乡镇志编纂指导、《濮阳县大事月报》编辑发行等工作，严格贯彻落实财政部门有关项目绩效管理要求，合理使用项目资金，推进了年鉴、乡镇志编纂、大事月报编辑工作的顺利开展，圆满完成省市史志部门工作要求，取得了良好的社会效果。</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sz w:val="32"/>
          <w:szCs w:val="32"/>
          <w:lang w:eastAsia="zh-CN"/>
        </w:rPr>
        <w:t>我部门无</w:t>
      </w:r>
      <w:r>
        <w:rPr>
          <w:rFonts w:hint="eastAsia" w:ascii="楷体_GB2312" w:hAnsi="楷体_GB2312" w:eastAsia="楷体_GB2312" w:cs="楷体_GB2312"/>
          <w:b w:val="0"/>
          <w:bCs w:val="0"/>
          <w:sz w:val="32"/>
          <w:szCs w:val="32"/>
          <w:lang w:val="en-US" w:eastAsia="zh-CN"/>
        </w:rPr>
        <w:t>重点绩效评价</w:t>
      </w:r>
      <w:r>
        <w:rPr>
          <w:rFonts w:hint="eastAsia" w:ascii="楷体_GB2312" w:hAnsi="楷体_GB2312" w:eastAsia="楷体_GB2312" w:cs="楷体_GB2312"/>
          <w:b w:val="0"/>
          <w:bCs w:val="0"/>
          <w:sz w:val="32"/>
          <w:szCs w:val="32"/>
          <w:lang w:eastAsia="zh-CN"/>
        </w:rPr>
        <w:t>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2019年度政府性基金预算财政拨款支出年初预算为0万元，支出决算为0万元。</w:t>
      </w:r>
      <w:r>
        <w:rPr>
          <w:rFonts w:hint="eastAsia" w:ascii="仿宋" w:hAnsi="仿宋" w:eastAsia="仿宋" w:cs="仿宋"/>
          <w:sz w:val="30"/>
          <w:szCs w:val="30"/>
        </w:rPr>
        <w:t>我部门2019年度没有政府性基金收入，也没有使用政府性基金安排的支出</w:t>
      </w:r>
      <w:r>
        <w:rPr>
          <w:rFonts w:hint="eastAsia" w:ascii="仿宋" w:hAnsi="仿宋" w:eastAsia="仿宋" w:cs="仿宋"/>
          <w:sz w:val="30"/>
          <w:szCs w:val="30"/>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初预算为11.88万元，支出决算为11.88万元，完成年初预算的100%。</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shd w:val="clear"/>
        </w:rPr>
        <w:t>2019年度机关运行经费支出</w:t>
      </w:r>
      <w:r>
        <w:rPr>
          <w:rFonts w:hint="eastAsia" w:ascii="仿宋_GB2312" w:hAnsi="仿宋_GB2312" w:eastAsia="仿宋_GB2312" w:cs="仿宋_GB2312"/>
          <w:sz w:val="32"/>
          <w:szCs w:val="32"/>
          <w:highlight w:val="none"/>
          <w:shd w:val="clear"/>
          <w:lang w:val="en-US" w:eastAsia="zh-CN"/>
        </w:rPr>
        <w:t>11.88</w:t>
      </w:r>
      <w:r>
        <w:rPr>
          <w:rFonts w:hint="eastAsia" w:ascii="仿宋_GB2312" w:hAnsi="仿宋_GB2312" w:eastAsia="仿宋_GB2312" w:cs="仿宋_GB2312"/>
          <w:sz w:val="32"/>
          <w:szCs w:val="32"/>
          <w:highlight w:val="none"/>
          <w:shd w:val="clear"/>
        </w:rPr>
        <w:t>万元，较上年度</w:t>
      </w:r>
      <w:r>
        <w:rPr>
          <w:rFonts w:hint="eastAsia" w:ascii="仿宋_GB2312" w:hAnsi="仿宋_GB2312" w:eastAsia="仿宋_GB2312" w:cs="仿宋_GB2312"/>
          <w:sz w:val="32"/>
          <w:szCs w:val="32"/>
          <w:highlight w:val="none"/>
          <w:shd w:val="clear"/>
          <w:lang w:val="en-US" w:eastAsia="zh-CN"/>
        </w:rPr>
        <w:t>减少0.5万元，减少4</w:t>
      </w:r>
      <w:r>
        <w:rPr>
          <w:rFonts w:hint="eastAsia" w:ascii="仿宋_GB2312" w:hAnsi="仿宋_GB2312" w:eastAsia="仿宋_GB2312" w:cs="仿宋_GB2312"/>
          <w:sz w:val="32"/>
          <w:szCs w:val="32"/>
          <w:highlight w:val="none"/>
          <w:shd w:val="clear"/>
        </w:rPr>
        <w:t>%</w:t>
      </w:r>
      <w:r>
        <w:rPr>
          <w:rFonts w:hint="eastAsia" w:ascii="仿宋_GB2312" w:hAnsi="仿宋_GB2312" w:eastAsia="仿宋_GB2312" w:cs="仿宋_GB2312"/>
          <w:sz w:val="32"/>
          <w:szCs w:val="32"/>
          <w:highlight w:val="none"/>
          <w:shd w:val="clear"/>
          <w:lang w:eastAsia="zh-CN"/>
        </w:rPr>
        <w:t>，主要</w:t>
      </w:r>
      <w:r>
        <w:rPr>
          <w:rFonts w:hint="eastAsia" w:ascii="仿宋" w:hAnsi="仿宋" w:eastAsia="仿宋" w:cs="仿宋"/>
          <w:b w:val="0"/>
          <w:bCs w:val="0"/>
          <w:color w:val="auto"/>
          <w:sz w:val="32"/>
          <w:szCs w:val="32"/>
          <w:highlight w:val="none"/>
          <w:lang w:val="en-US" w:eastAsia="zh-CN"/>
        </w:rPr>
        <w:t>原因是</w:t>
      </w:r>
      <w:r>
        <w:rPr>
          <w:rFonts w:hint="eastAsia" w:ascii="仿宋_GB2312" w:hAnsi="仿宋_GB2312" w:eastAsia="仿宋_GB2312" w:cs="仿宋_GB2312"/>
          <w:color w:val="auto"/>
          <w:sz w:val="32"/>
          <w:szCs w:val="32"/>
          <w:highlight w:val="none"/>
          <w:lang w:val="en-US" w:eastAsia="zh-CN"/>
        </w:rPr>
        <w:t>人员开支减少，经费相对减少。</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b w:val="0"/>
          <w:bCs w:val="0"/>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pStyle w:val="2"/>
        <w:keepNext w:val="0"/>
        <w:keepLines w:val="0"/>
        <w:pageBreakBefore w:val="0"/>
        <w:widowControl/>
        <w:kinsoku/>
        <w:wordWrap/>
        <w:overflowPunct/>
        <w:topLinePunct w:val="0"/>
        <w:autoSpaceDE/>
        <w:autoSpaceDN/>
        <w:bidi w:val="0"/>
        <w:adjustRightInd/>
        <w:snapToGrid/>
        <w:spacing w:before="284" w:beforeLines="0" w:line="360" w:lineRule="auto"/>
        <w:jc w:val="left"/>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1DB1F"/>
    <w:multiLevelType w:val="singleLevel"/>
    <w:tmpl w:val="B461DB1F"/>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3">
    <w:nsid w:val="60FC7331"/>
    <w:multiLevelType w:val="singleLevel"/>
    <w:tmpl w:val="60FC7331"/>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85732"/>
    <w:rsid w:val="062A392D"/>
    <w:rsid w:val="09D85732"/>
    <w:rsid w:val="0AB45BC2"/>
    <w:rsid w:val="18576654"/>
    <w:rsid w:val="1FBF7909"/>
    <w:rsid w:val="228415DB"/>
    <w:rsid w:val="25E31E5B"/>
    <w:rsid w:val="30EF3C00"/>
    <w:rsid w:val="314F5EF7"/>
    <w:rsid w:val="359F4C6D"/>
    <w:rsid w:val="3B4009E2"/>
    <w:rsid w:val="3B4168E7"/>
    <w:rsid w:val="3FE64D7F"/>
    <w:rsid w:val="40A07110"/>
    <w:rsid w:val="432C4C79"/>
    <w:rsid w:val="45B14F2C"/>
    <w:rsid w:val="4E465F3C"/>
    <w:rsid w:val="5204564D"/>
    <w:rsid w:val="542843B0"/>
    <w:rsid w:val="56F8305C"/>
    <w:rsid w:val="584D4755"/>
    <w:rsid w:val="74E11B71"/>
    <w:rsid w:val="78CD49F9"/>
    <w:rsid w:val="79DD0430"/>
    <w:rsid w:val="7A2108B0"/>
    <w:rsid w:val="7FB2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2020-10-28T02:20:00Z</dcterms:created>
  <dc:creator>厚德载物</dc:creator>
  <cp:lastModifiedBy>Administrator</cp:lastModifiedBy>
  <dcterms:modified xsi:type="dcterms:W3CDTF">2021-06-08T01:02:00Z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0126E0C0C4044FC8958BE78B267E4A36</vt:lpwstr>
  </property>
</Properties>
</file>