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2019年度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濮阳县教师进修学校</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濮阳县教师进修学校</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2019年度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2019年度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濮阳县教师进修学校</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color w:val="auto"/>
          <w:kern w:val="0"/>
          <w:sz w:val="32"/>
          <w:szCs w:val="32"/>
          <w:highlight w:val="none"/>
          <w:lang w:val="en-US" w:eastAsia="zh-CN"/>
        </w:rPr>
        <w:t>部门</w:t>
      </w:r>
      <w:r>
        <w:rPr>
          <w:rFonts w:hint="eastAsia" w:ascii="黑体" w:hAnsi="黑体" w:eastAsia="黑体" w:cs="黑体"/>
          <w:bCs/>
          <w:sz w:val="32"/>
          <w:szCs w:val="32"/>
        </w:rPr>
        <w:t>职责</w:t>
      </w:r>
    </w:p>
    <w:p>
      <w:pPr>
        <w:keepNext w:val="0"/>
        <w:keepLines w:val="0"/>
        <w:widowControl/>
        <w:suppressLineNumbers w:val="0"/>
        <w:jc w:val="left"/>
      </w:pPr>
      <w:r>
        <w:rPr>
          <w:rFonts w:hint="eastAsia" w:ascii="黑体" w:hAnsi="黑体" w:eastAsia="黑体" w:cs="黑体"/>
          <w:bCs/>
          <w:sz w:val="32"/>
          <w:szCs w:val="32"/>
          <w:lang w:val="en-US" w:eastAsia="zh-CN"/>
        </w:rPr>
        <w:t xml:space="preserve">     </w:t>
      </w:r>
      <w:r>
        <w:rPr>
          <w:rFonts w:hint="eastAsia" w:ascii="仿宋_GB2312" w:hAnsi="宋体" w:eastAsia="仿宋_GB2312" w:cs="宋体"/>
          <w:kern w:val="0"/>
          <w:sz w:val="32"/>
          <w:szCs w:val="32"/>
          <w:lang w:val="en-US" w:eastAsia="zh-CN"/>
        </w:rPr>
        <w:t xml:space="preserve">  </w:t>
      </w:r>
      <w:r>
        <w:rPr>
          <w:rFonts w:hint="eastAsia" w:ascii="宋体" w:hAnsi="宋体" w:eastAsia="宋体" w:cs="宋体"/>
          <w:color w:val="333333"/>
          <w:kern w:val="0"/>
          <w:sz w:val="28"/>
          <w:szCs w:val="28"/>
          <w:lang w:val="en-US" w:eastAsia="zh-CN" w:bidi="ar"/>
        </w:rPr>
        <w:t xml:space="preserve">濮阳县教师进修学校，始建于 </w:t>
      </w:r>
      <w:r>
        <w:rPr>
          <w:rFonts w:hint="eastAsia" w:ascii="ArialMT" w:hAnsi="ArialMT" w:eastAsia="ArialMT" w:cs="ArialMT"/>
          <w:color w:val="333333"/>
          <w:kern w:val="0"/>
          <w:sz w:val="28"/>
          <w:szCs w:val="28"/>
          <w:lang w:val="en-US" w:eastAsia="zh-CN" w:bidi="ar"/>
        </w:rPr>
        <w:t>1951</w:t>
      </w:r>
      <w:r>
        <w:rPr>
          <w:rFonts w:ascii="ArialMT" w:hAnsi="ArialMT" w:eastAsia="ArialMT" w:cs="ArialMT"/>
          <w:color w:val="333333"/>
          <w:kern w:val="0"/>
          <w:sz w:val="28"/>
          <w:szCs w:val="28"/>
          <w:lang w:val="en-US" w:eastAsia="zh-CN" w:bidi="ar"/>
        </w:rPr>
        <w:t xml:space="preserve"> </w:t>
      </w:r>
      <w:r>
        <w:rPr>
          <w:rFonts w:hint="eastAsia" w:ascii="宋体" w:hAnsi="宋体" w:eastAsia="宋体" w:cs="宋体"/>
          <w:color w:val="333333"/>
          <w:kern w:val="0"/>
          <w:sz w:val="28"/>
          <w:szCs w:val="28"/>
          <w:lang w:val="en-US" w:eastAsia="zh-CN" w:bidi="ar"/>
        </w:rPr>
        <w:t xml:space="preserve">年，是经省教育厅批准成立的中等师范专业学校，担负着全县小学校长岗位培训、提高培训和小学教师继续教育培训任务；是一所教学设施齐全，师资力量雄厚，集全县小学教师培训、教研教学、教育科研为一体的师资培训基地。 </w:t>
      </w:r>
    </w:p>
    <w:p>
      <w:pPr>
        <w:keepNext w:val="0"/>
        <w:keepLines w:val="0"/>
        <w:widowControl/>
        <w:suppressLineNumbers w:val="0"/>
        <w:ind w:firstLine="560" w:firstLineChars="200"/>
        <w:jc w:val="left"/>
      </w:pPr>
      <w:r>
        <w:rPr>
          <w:rFonts w:ascii="TimesNewRomanPSMT" w:hAnsi="TimesNewRomanPSMT" w:eastAsia="TimesNewRomanPSMT" w:cs="TimesNewRomanPSMT"/>
          <w:color w:val="333333"/>
          <w:kern w:val="0"/>
          <w:sz w:val="28"/>
          <w:szCs w:val="28"/>
          <w:lang w:val="en-US" w:eastAsia="zh-CN" w:bidi="ar"/>
        </w:rPr>
        <w:t>1.</w:t>
      </w:r>
      <w:r>
        <w:rPr>
          <w:rFonts w:hint="eastAsia" w:ascii="宋体" w:hAnsi="宋体" w:eastAsia="宋体" w:cs="宋体"/>
          <w:color w:val="333333"/>
          <w:kern w:val="0"/>
          <w:sz w:val="28"/>
          <w:szCs w:val="28"/>
          <w:lang w:val="en-US" w:eastAsia="zh-CN" w:bidi="ar"/>
        </w:rPr>
        <w:t xml:space="preserve">全县中小学校长任职及提高培训。通过培训，使我县中小学校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长具备履行校长园长职责必备的思想政治素质、品德修养、教育知识、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管理知识和能力；掌握和运用国家的教育政策和法规，明确义务教育学校校长专业标准，增强依法治校的意识和能力；掌握现代学校管理理论和方法，提高组织实施素质教育和课程改革的能力和水平，成为适应社会发展和教育改革的学校管理新生力量。 </w:t>
      </w:r>
    </w:p>
    <w:p>
      <w:pPr>
        <w:keepNext w:val="0"/>
        <w:keepLines w:val="0"/>
        <w:widowControl/>
        <w:suppressLineNumbers w:val="0"/>
        <w:ind w:firstLine="560" w:firstLineChars="200"/>
        <w:jc w:val="left"/>
      </w:pPr>
      <w:r>
        <w:rPr>
          <w:rFonts w:hint="default" w:ascii="TimesNewRomanPSMT" w:hAnsi="TimesNewRomanPSMT" w:eastAsia="TimesNewRomanPSMT" w:cs="TimesNewRomanPSMT"/>
          <w:color w:val="333333"/>
          <w:kern w:val="0"/>
          <w:sz w:val="28"/>
          <w:szCs w:val="28"/>
          <w:lang w:val="en-US" w:eastAsia="zh-CN" w:bidi="ar"/>
        </w:rPr>
        <w:t>2</w:t>
      </w:r>
      <w:r>
        <w:rPr>
          <w:rFonts w:hint="eastAsia" w:ascii="宋体" w:hAnsi="宋体" w:eastAsia="宋体" w:cs="宋体"/>
          <w:color w:val="333333"/>
          <w:kern w:val="0"/>
          <w:sz w:val="28"/>
          <w:szCs w:val="28"/>
          <w:lang w:val="en-US" w:eastAsia="zh-CN" w:bidi="ar"/>
        </w:rPr>
        <w:t xml:space="preserve">．全县中小学教师继续教育培训。通过培训，进一步提升中小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学教师教育教学理念和专业知识结构，拓宽教师的学科专业视野，夯实学科理论基础，提升实施新课标教学有效策略，强化基于核心素养的课堂教学实施能力和教育科研能力，推进网络与校本研修的有效融合，助力教师专业发展。 </w:t>
      </w:r>
    </w:p>
    <w:p>
      <w:pPr>
        <w:keepNext w:val="0"/>
        <w:keepLines w:val="0"/>
        <w:widowControl/>
        <w:numPr>
          <w:ilvl w:val="0"/>
          <w:numId w:val="3"/>
        </w:numPr>
        <w:suppressLineNumbers w:val="0"/>
        <w:ind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全县中小学教师各学科培训。为贯彻落实《国家中长期教育改革与发展规划纲要（</w:t>
      </w:r>
      <w:r>
        <w:rPr>
          <w:rFonts w:hint="default" w:ascii="TimesNewRomanPSMT" w:hAnsi="TimesNewRomanPSMT" w:eastAsia="TimesNewRomanPSMT" w:cs="TimesNewRomanPSMT"/>
          <w:color w:val="333333"/>
          <w:kern w:val="0"/>
          <w:sz w:val="28"/>
          <w:szCs w:val="28"/>
          <w:lang w:val="en-US" w:eastAsia="zh-CN" w:bidi="ar"/>
        </w:rPr>
        <w:t>2010--2010</w:t>
      </w:r>
      <w:r>
        <w:rPr>
          <w:rFonts w:hint="eastAsia" w:ascii="宋体" w:hAnsi="宋体" w:eastAsia="宋体" w:cs="宋体"/>
          <w:color w:val="333333"/>
          <w:kern w:val="0"/>
          <w:sz w:val="28"/>
          <w:szCs w:val="28"/>
          <w:lang w:val="en-US" w:eastAsia="zh-CN" w:bidi="ar"/>
        </w:rPr>
        <w:t>）》，以造就高素质专业化教师队伍为目标，以提高教师师德素养和业务水平为核心，以提升培训质量为主线，开展了全县中小学教学各学科培训。努力构建开放灵活的教师终身学习体系和保障支撑服务体系，着力打造一支师德高尚、结构合理、素质优良、专业化水平较高的中小学教师队伍，为建设教育强县提供强有 力的师资保障。</w:t>
      </w:r>
    </w:p>
    <w:p>
      <w:pPr>
        <w:keepNext w:val="0"/>
        <w:keepLines w:val="0"/>
        <w:widowControl/>
        <w:numPr>
          <w:ilvl w:val="0"/>
          <w:numId w:val="0"/>
        </w:numPr>
        <w:suppressLineNumbers w:val="0"/>
        <w:ind w:firstLine="560" w:firstLineChars="200"/>
        <w:jc w:val="left"/>
      </w:pPr>
      <w:r>
        <w:rPr>
          <w:rFonts w:hint="default" w:ascii="TimesNewRomanPSMT" w:hAnsi="TimesNewRomanPSMT" w:eastAsia="TimesNewRomanPSMT" w:cs="TimesNewRomanPSMT"/>
          <w:color w:val="333333"/>
          <w:kern w:val="0"/>
          <w:sz w:val="28"/>
          <w:szCs w:val="28"/>
          <w:lang w:val="en-US" w:eastAsia="zh-CN" w:bidi="ar"/>
        </w:rPr>
        <w:t>4</w:t>
      </w:r>
      <w:r>
        <w:rPr>
          <w:rFonts w:hint="eastAsia" w:ascii="宋体" w:hAnsi="宋体" w:eastAsia="宋体" w:cs="宋体"/>
          <w:color w:val="333333"/>
          <w:kern w:val="0"/>
          <w:sz w:val="28"/>
          <w:szCs w:val="28"/>
          <w:lang w:val="en-US" w:eastAsia="zh-CN" w:bidi="ar"/>
        </w:rPr>
        <w:t>．新教师岗前培训。通过培训，使新教师树立正确的职业道德</w:t>
      </w:r>
      <w:r>
        <w:rPr>
          <w:rFonts w:hint="default" w:ascii="TimesNewRomanPSMT" w:hAnsi="TimesNewRomanPSMT" w:eastAsia="TimesNewRomanPSMT" w:cs="TimesNewRomanPSMT"/>
          <w:color w:val="333333"/>
          <w:kern w:val="0"/>
          <w:sz w:val="28"/>
          <w:szCs w:val="28"/>
          <w:lang w:val="en-US" w:eastAsia="zh-CN" w:bidi="ar"/>
        </w:rPr>
        <w:t>;</w:t>
      </w:r>
      <w:r>
        <w:rPr>
          <w:rFonts w:hint="eastAsia" w:ascii="宋体" w:hAnsi="宋体" w:eastAsia="宋体" w:cs="宋体"/>
          <w:color w:val="333333"/>
          <w:kern w:val="0"/>
          <w:sz w:val="28"/>
          <w:szCs w:val="28"/>
          <w:lang w:val="en-US" w:eastAsia="zh-CN" w:bidi="ar"/>
        </w:rPr>
        <w:t>了解课程改革基本内容，初步掌握学科教学的常规技能</w:t>
      </w:r>
      <w:r>
        <w:rPr>
          <w:rFonts w:hint="default" w:ascii="TimesNewRomanPSMT" w:hAnsi="TimesNewRomanPSMT" w:eastAsia="TimesNewRomanPSMT" w:cs="TimesNewRomanPSMT"/>
          <w:color w:val="333333"/>
          <w:kern w:val="0"/>
          <w:sz w:val="28"/>
          <w:szCs w:val="28"/>
          <w:lang w:val="en-US" w:eastAsia="zh-CN" w:bidi="ar"/>
        </w:rPr>
        <w:t>;</w:t>
      </w:r>
      <w:r>
        <w:rPr>
          <w:rFonts w:hint="eastAsia" w:ascii="宋体" w:hAnsi="宋体" w:eastAsia="宋体" w:cs="宋体"/>
          <w:color w:val="333333"/>
          <w:kern w:val="0"/>
          <w:sz w:val="28"/>
          <w:szCs w:val="28"/>
          <w:lang w:val="en-US" w:eastAsia="zh-CN" w:bidi="ar"/>
        </w:rPr>
        <w:t xml:space="preserve">具备一定的管理和教育学生、组织班级活动的基本能力。 </w:t>
      </w:r>
    </w:p>
    <w:p>
      <w:pPr>
        <w:keepNext w:val="0"/>
        <w:keepLines w:val="0"/>
        <w:widowControl/>
        <w:suppressLineNumbers w:val="0"/>
        <w:ind w:firstLine="560" w:firstLineChars="200"/>
        <w:jc w:val="left"/>
      </w:pPr>
      <w:r>
        <w:rPr>
          <w:rFonts w:hint="default" w:ascii="TimesNewRomanPSMT" w:hAnsi="TimesNewRomanPSMT" w:eastAsia="TimesNewRomanPSMT" w:cs="TimesNewRomanPSMT"/>
          <w:color w:val="333333"/>
          <w:kern w:val="0"/>
          <w:sz w:val="28"/>
          <w:szCs w:val="28"/>
          <w:lang w:val="en-US" w:eastAsia="zh-CN" w:bidi="ar"/>
        </w:rPr>
        <w:t>5</w:t>
      </w:r>
      <w:r>
        <w:rPr>
          <w:rFonts w:hint="eastAsia" w:ascii="宋体" w:hAnsi="宋体" w:eastAsia="宋体" w:cs="宋体"/>
          <w:color w:val="333333"/>
          <w:kern w:val="0"/>
          <w:sz w:val="28"/>
          <w:szCs w:val="28"/>
          <w:lang w:val="en-US" w:eastAsia="zh-CN" w:bidi="ar"/>
        </w:rPr>
        <w:t xml:space="preserve">．“国培计划”相关培训。依托“国培计划”开展了乡村教师培训团队研修项目；送教下乡培训项目；乡村教师工作坊研修项目；乡村教师访名校培训项目；乡村校园长培训项目。发展乡村教育，教师是关键，我县按“国培计划”相关精神，贯彻把乡村教师队伍建设摆在优先发展的战略地位的方针政策，把各项培训落到实处。 </w:t>
      </w:r>
    </w:p>
    <w:p>
      <w:pPr>
        <w:keepNext w:val="0"/>
        <w:keepLines w:val="0"/>
        <w:widowControl/>
        <w:suppressLineNumbers w:val="0"/>
        <w:ind w:firstLine="560" w:firstLineChars="200"/>
        <w:jc w:val="left"/>
      </w:pPr>
      <w:r>
        <w:rPr>
          <w:rFonts w:hint="default" w:ascii="TimesNewRomanPSMT" w:hAnsi="TimesNewRomanPSMT" w:eastAsia="TimesNewRomanPSMT" w:cs="TimesNewRomanPSMT"/>
          <w:color w:val="333333"/>
          <w:kern w:val="0"/>
          <w:sz w:val="28"/>
          <w:szCs w:val="28"/>
          <w:lang w:val="en-US" w:eastAsia="zh-CN" w:bidi="ar"/>
        </w:rPr>
        <w:t>6</w:t>
      </w:r>
      <w:r>
        <w:rPr>
          <w:rFonts w:hint="eastAsia" w:ascii="宋体" w:hAnsi="宋体" w:eastAsia="宋体" w:cs="宋体"/>
          <w:color w:val="333333"/>
          <w:kern w:val="0"/>
          <w:sz w:val="28"/>
          <w:szCs w:val="28"/>
          <w:lang w:val="en-US" w:eastAsia="zh-CN" w:bidi="ar"/>
        </w:rPr>
        <w:t>．其它培训。结合我县实际情况和学生需求，开发了手工类、乐器类、如讲微课、微型课培训等系列培训，提高了教师的综合素养，为学校培养出一批专业水平高，才艺出众的教师。</w:t>
      </w:r>
    </w:p>
    <w:p>
      <w:pPr>
        <w:widowControl/>
        <w:numPr>
          <w:ilvl w:val="0"/>
          <w:numId w:val="0"/>
        </w:numPr>
        <w:jc w:val="left"/>
        <w:outlineLvl w:val="1"/>
        <w:rPr>
          <w:rFonts w:hint="default" w:ascii="黑体" w:hAnsi="黑体" w:eastAsia="黑体" w:cs="黑体"/>
          <w:bCs/>
          <w:sz w:val="32"/>
          <w:szCs w:val="32"/>
          <w:lang w:val="en-US" w:eastAsia="zh-C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spacing w:line="360" w:lineRule="auto"/>
        <w:ind w:firstLine="56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黑体" w:hAnsi="宋体" w:eastAsia="黑体" w:cs="宋体"/>
          <w:color w:val="auto"/>
          <w:kern w:val="0"/>
          <w:sz w:val="28"/>
          <w:szCs w:val="28"/>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学校内设机构3个，包括：办公室、教务处、总务处。从决算单位构成看，濮阳县教师进修学校</w:t>
      </w:r>
      <w:bookmarkStart w:id="0" w:name="_GoBack"/>
      <w:bookmarkEnd w:id="0"/>
      <w:r>
        <w:rPr>
          <w:rFonts w:hint="eastAsia" w:ascii="仿宋_GB2312" w:hAnsi="仿宋_GB2312" w:eastAsia="仿宋_GB2312" w:cs="仿宋_GB2312"/>
          <w:color w:val="auto"/>
          <w:kern w:val="0"/>
          <w:sz w:val="32"/>
          <w:szCs w:val="32"/>
          <w:highlight w:val="none"/>
          <w:lang w:val="en-US" w:eastAsia="zh-CN"/>
        </w:rPr>
        <w:t>部门决算包括：本级决算。纳入本部门2019年度部门决算编制范围的单位共1个，没有下属二级预算单位，本级决算即汇总决算。</w:t>
      </w:r>
    </w:p>
    <w:p>
      <w:pPr>
        <w:keepNext w:val="0"/>
        <w:keepLines w:val="0"/>
        <w:widowControl/>
        <w:suppressLineNumbers w:val="0"/>
        <w:jc w:val="left"/>
      </w:pPr>
      <w:r>
        <w:rPr>
          <w:rFonts w:ascii="黑体" w:hAnsi="宋体" w:eastAsia="黑体" w:cs="黑体"/>
          <w:b/>
          <w:color w:val="333333"/>
          <w:kern w:val="0"/>
          <w:sz w:val="31"/>
          <w:szCs w:val="31"/>
          <w:lang w:val="en-US" w:eastAsia="zh-CN" w:bidi="ar"/>
        </w:rPr>
        <w:t xml:space="preserve">内设机构: </w:t>
      </w:r>
    </w:p>
    <w:p>
      <w:pPr>
        <w:keepNext w:val="0"/>
        <w:keepLines w:val="0"/>
        <w:widowControl/>
        <w:suppressLineNumbers w:val="0"/>
        <w:jc w:val="left"/>
      </w:pPr>
      <w:r>
        <w:rPr>
          <w:rFonts w:hint="eastAsia" w:ascii="宋体" w:hAnsi="宋体" w:eastAsia="宋体" w:cs="宋体"/>
          <w:b/>
          <w:color w:val="333333"/>
          <w:kern w:val="0"/>
          <w:sz w:val="31"/>
          <w:szCs w:val="31"/>
          <w:lang w:val="en-US" w:eastAsia="zh-CN" w:bidi="ar"/>
        </w:rPr>
        <w:t xml:space="preserve">一、办公室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办公室在党支部、校长领导下,负责处理学校日常行政事务工作，其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主要职责如下：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（一）协助校长了解和掌握学校各方面的情况并提出意见和建议，协调并配合各部门的工作。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（二）协助校长处理有关人事事项，负责办理教工调入、调出、退休等手续。负责教职工的考勤考核、职评、年终考核、劳动工资等工作。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（三）协助校长制定各类规章制度。负责学校计划、总结、年鉴及日常文书处理，做好来信来访和对外联系、接待等工作，做好相关报告的报批。</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（四）负责上级部门来文的接收、登记、传阅、整理归档工作。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（五）组织安排工作例会、行政性会议及其他专门会议，做好会议的记录、整理、存档工作。负责学校工作行事历和值日值周安排。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（六）负责学校档案管理和对外宣传等工作。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（七）完成党支部、校长交办的其他工作任务。 </w:t>
      </w:r>
    </w:p>
    <w:p>
      <w:pPr>
        <w:keepNext w:val="0"/>
        <w:keepLines w:val="0"/>
        <w:widowControl/>
        <w:suppressLineNumbers w:val="0"/>
        <w:jc w:val="left"/>
      </w:pPr>
      <w:r>
        <w:rPr>
          <w:rFonts w:hint="eastAsia" w:ascii="宋体" w:hAnsi="宋体" w:eastAsia="宋体" w:cs="宋体"/>
          <w:b/>
          <w:color w:val="333333"/>
          <w:kern w:val="0"/>
          <w:sz w:val="31"/>
          <w:szCs w:val="31"/>
          <w:lang w:val="en-US" w:eastAsia="zh-CN" w:bidi="ar"/>
        </w:rPr>
        <w:t xml:space="preserve">二、教务处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（一）负责制订、实施学校有关教育科学研究的计划和条例；总结教科研工作。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（二）负责组织学校教育科研的征题、立项、开题论证、过程管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理、成果评选和推广工作；向上级教育科研机构推荐立项课题和研究成果，并做好相应的建档工作。 </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（三）保持与上级教育科研机构的联系并接受其业务指导；组织、 </w:t>
      </w:r>
    </w:p>
    <w:p>
      <w:pPr>
        <w:keepNext w:val="0"/>
        <w:keepLines w:val="0"/>
        <w:widowControl/>
        <w:suppressLineNumbers w:val="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参与或接受上级教育科学规划领导小组下达的具有重大现实意义的课题研究活动。</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（四）负责校本培训，普及教科研知识和方法，组织教师进行有关教育理论和业务学习，不断提高教师的科研水平、业务能力和理论修养。</w:t>
      </w:r>
    </w:p>
    <w:p>
      <w:pPr>
        <w:keepNext w:val="0"/>
        <w:keepLines w:val="0"/>
        <w:widowControl/>
        <w:suppressLineNumbers w:val="0"/>
        <w:ind w:firstLine="560" w:firstLineChars="200"/>
        <w:jc w:val="left"/>
      </w:pPr>
      <w:r>
        <w:rPr>
          <w:rFonts w:hint="eastAsia" w:ascii="宋体" w:hAnsi="宋体" w:eastAsia="宋体" w:cs="宋体"/>
          <w:color w:val="333333"/>
          <w:kern w:val="0"/>
          <w:sz w:val="28"/>
          <w:szCs w:val="28"/>
          <w:lang w:val="en-US" w:eastAsia="zh-CN" w:bidi="ar"/>
        </w:rPr>
        <w:t xml:space="preserve">（五）组织、承办全县继续教育培训、校园长培训和“国培计划” </w:t>
      </w:r>
    </w:p>
    <w:p>
      <w:pPr>
        <w:keepNext w:val="0"/>
        <w:keepLines w:val="0"/>
        <w:widowControl/>
        <w:suppressLineNumbers w:val="0"/>
        <w:jc w:val="left"/>
      </w:pPr>
      <w:r>
        <w:rPr>
          <w:rFonts w:hint="eastAsia" w:ascii="宋体" w:hAnsi="宋体" w:eastAsia="宋体" w:cs="宋体"/>
          <w:color w:val="333333"/>
          <w:kern w:val="0"/>
          <w:sz w:val="28"/>
          <w:szCs w:val="28"/>
          <w:lang w:val="en-US" w:eastAsia="zh-CN" w:bidi="ar"/>
        </w:rPr>
        <w:t xml:space="preserve">计划相关培训。 </w:t>
      </w:r>
    </w:p>
    <w:p>
      <w:pPr>
        <w:keepNext w:val="0"/>
        <w:keepLines w:val="0"/>
        <w:widowControl/>
        <w:suppressLineNumbers w:val="0"/>
        <w:jc w:val="left"/>
      </w:pPr>
      <w:r>
        <w:rPr>
          <w:rFonts w:hint="eastAsia" w:ascii="宋体" w:hAnsi="宋体" w:eastAsia="宋体" w:cs="宋体"/>
          <w:b/>
          <w:color w:val="333333"/>
          <w:kern w:val="0"/>
          <w:sz w:val="31"/>
          <w:szCs w:val="31"/>
          <w:lang w:val="en-US" w:eastAsia="zh-CN" w:bidi="ar"/>
        </w:rPr>
        <w:t xml:space="preserve">三、总务处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（一）负责组织起草有关总务后勤管理方面的规章制度，制定有关工作计划，并组织实施。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（二）理好财、管好帐，保证做到帐目日清月结年公布。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（三）负责学校楼房、设备、固定资产以及办公用品的购 </w:t>
      </w:r>
    </w:p>
    <w:p>
      <w:pPr>
        <w:keepNext w:val="0"/>
        <w:keepLines w:val="0"/>
        <w:widowControl/>
        <w:suppressLineNumbers w:val="0"/>
        <w:jc w:val="left"/>
      </w:pPr>
      <w:r>
        <w:rPr>
          <w:rFonts w:hint="eastAsia" w:ascii="宋体" w:hAnsi="宋体" w:eastAsia="宋体" w:cs="宋体"/>
          <w:color w:val="333333"/>
          <w:kern w:val="0"/>
          <w:sz w:val="31"/>
          <w:szCs w:val="31"/>
          <w:lang w:val="en-US" w:eastAsia="zh-CN" w:bidi="ar"/>
        </w:rPr>
        <w:t xml:space="preserve">置、验收、登记、供应、调配、领用、保管、养护以及财产清 </w:t>
      </w:r>
    </w:p>
    <w:p>
      <w:pPr>
        <w:keepNext w:val="0"/>
        <w:keepLines w:val="0"/>
        <w:widowControl/>
        <w:suppressLineNumbers w:val="0"/>
        <w:jc w:val="left"/>
      </w:pPr>
      <w:r>
        <w:rPr>
          <w:rFonts w:hint="eastAsia" w:ascii="宋体" w:hAnsi="宋体" w:eastAsia="宋体" w:cs="宋体"/>
          <w:color w:val="333333"/>
          <w:kern w:val="0"/>
          <w:sz w:val="31"/>
          <w:szCs w:val="31"/>
          <w:lang w:val="en-US" w:eastAsia="zh-CN" w:bidi="ar"/>
        </w:rPr>
        <w:t>查工作。</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(四)负责全校通讯、照明、供排水线路的安装、维修和器 </w:t>
      </w:r>
    </w:p>
    <w:p>
      <w:pPr>
        <w:keepNext w:val="0"/>
        <w:keepLines w:val="0"/>
        <w:widowControl/>
        <w:suppressLineNumbers w:val="0"/>
        <w:jc w:val="left"/>
      </w:pPr>
      <w:r>
        <w:rPr>
          <w:rFonts w:hint="eastAsia" w:ascii="宋体" w:hAnsi="宋体" w:eastAsia="宋体" w:cs="宋体"/>
          <w:color w:val="333333"/>
          <w:kern w:val="0"/>
          <w:sz w:val="31"/>
          <w:szCs w:val="31"/>
          <w:lang w:val="en-US" w:eastAsia="zh-CN" w:bidi="ar"/>
        </w:rPr>
        <w:t xml:space="preserve">材的管理工作。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(五)加强校舍安全检查力度过，及时发现问题，消除安全 </w:t>
      </w:r>
    </w:p>
    <w:p>
      <w:pPr>
        <w:keepNext w:val="0"/>
        <w:keepLines w:val="0"/>
        <w:widowControl/>
        <w:suppressLineNumbers w:val="0"/>
        <w:jc w:val="left"/>
      </w:pPr>
      <w:r>
        <w:rPr>
          <w:rFonts w:hint="eastAsia" w:ascii="宋体" w:hAnsi="宋体" w:eastAsia="宋体" w:cs="宋体"/>
          <w:color w:val="333333"/>
          <w:kern w:val="0"/>
          <w:sz w:val="31"/>
          <w:szCs w:val="31"/>
          <w:lang w:val="en-US" w:eastAsia="zh-CN" w:bidi="ar"/>
        </w:rPr>
        <w:t xml:space="preserve">隐患。加强学校食堂卫生、食品安全的监督管理，保证师生饮 </w:t>
      </w:r>
    </w:p>
    <w:p>
      <w:pPr>
        <w:keepNext w:val="0"/>
        <w:keepLines w:val="0"/>
        <w:widowControl/>
        <w:suppressLineNumbers w:val="0"/>
        <w:jc w:val="left"/>
      </w:pPr>
      <w:r>
        <w:rPr>
          <w:rFonts w:hint="eastAsia" w:ascii="宋体" w:hAnsi="宋体" w:eastAsia="宋体" w:cs="宋体"/>
          <w:color w:val="333333"/>
          <w:kern w:val="0"/>
          <w:sz w:val="31"/>
          <w:szCs w:val="31"/>
          <w:lang w:val="en-US" w:eastAsia="zh-CN" w:bidi="ar"/>
        </w:rPr>
        <w:t xml:space="preserve">食卫生，不断改善服务态度，提高服务质量。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(六)负责学校的环境卫生、绿化工作，美化校园环境。 </w:t>
      </w:r>
    </w:p>
    <w:p>
      <w:pPr>
        <w:keepNext w:val="0"/>
        <w:keepLines w:val="0"/>
        <w:widowControl/>
        <w:suppressLineNumbers w:val="0"/>
        <w:ind w:firstLine="620" w:firstLineChars="200"/>
        <w:jc w:val="left"/>
      </w:pPr>
      <w:r>
        <w:rPr>
          <w:rFonts w:hint="eastAsia" w:ascii="宋体" w:hAnsi="宋体" w:eastAsia="宋体" w:cs="宋体"/>
          <w:color w:val="333333"/>
          <w:kern w:val="0"/>
          <w:sz w:val="31"/>
          <w:szCs w:val="31"/>
          <w:lang w:val="en-US" w:eastAsia="zh-CN" w:bidi="ar"/>
        </w:rPr>
        <w:t xml:space="preserve">(七)完成上级领导交办的其他工作。 </w:t>
      </w:r>
    </w:p>
    <w:p>
      <w:pPr>
        <w:rPr>
          <w:rFonts w:hint="eastAsia" w:ascii="宋体" w:hAnsi="宋体" w:eastAsia="宋体"/>
          <w:sz w:val="28"/>
          <w:szCs w:val="28"/>
          <w:lang w:eastAsia="zh-CN"/>
        </w:rPr>
      </w:pPr>
    </w:p>
    <w:p>
      <w:pPr>
        <w:widowControl/>
        <w:jc w:val="left"/>
        <w:rPr>
          <w:rFonts w:hint="default"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ind w:firstLine="960" w:firstLineChars="2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2019年度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4070" w:type="dxa"/>
        <w:tblInd w:w="0" w:type="dxa"/>
        <w:shd w:val="clear" w:color="auto" w:fill="auto"/>
        <w:tblLayout w:type="autofit"/>
        <w:tblCellMar>
          <w:top w:w="0" w:type="dxa"/>
          <w:left w:w="0" w:type="dxa"/>
          <w:bottom w:w="0" w:type="dxa"/>
          <w:right w:w="0" w:type="dxa"/>
        </w:tblCellMar>
      </w:tblPr>
      <w:tblGrid>
        <w:gridCol w:w="4820"/>
        <w:gridCol w:w="680"/>
        <w:gridCol w:w="999"/>
        <w:gridCol w:w="4820"/>
        <w:gridCol w:w="680"/>
        <w:gridCol w:w="2071"/>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autofit"/>
        <w:tblCellMar>
          <w:top w:w="0" w:type="dxa"/>
          <w:left w:w="0" w:type="dxa"/>
          <w:bottom w:w="0" w:type="dxa"/>
          <w:right w:w="0" w:type="dxa"/>
        </w:tblCellMar>
      </w:tblPr>
      <w:tblGrid>
        <w:gridCol w:w="2430"/>
        <w:gridCol w:w="36"/>
        <w:gridCol w:w="36"/>
        <w:gridCol w:w="3770"/>
        <w:gridCol w:w="1361"/>
        <w:gridCol w:w="1428"/>
        <w:gridCol w:w="1308"/>
        <w:gridCol w:w="1272"/>
        <w:gridCol w:w="1225"/>
        <w:gridCol w:w="1132"/>
        <w:gridCol w:w="1430"/>
      </w:tblGrid>
      <w:tr>
        <w:tblPrEx>
          <w:shd w:val="clear" w:color="auto" w:fill="auto"/>
          <w:tblCellMar>
            <w:top w:w="0" w:type="dxa"/>
            <w:left w:w="0" w:type="dxa"/>
            <w:bottom w:w="0" w:type="dxa"/>
            <w:right w:w="0" w:type="dxa"/>
          </w:tblCellMar>
        </w:tblPrEx>
        <w:trPr>
          <w:trHeight w:val="390" w:hRule="atLeast"/>
        </w:trPr>
        <w:tc>
          <w:tcPr>
            <w:tcW w:w="15428" w:type="dxa"/>
            <w:gridSpan w:val="11"/>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6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2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41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33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226"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32"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74"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778"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78"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78"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26"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3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7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教师进修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autofit"/>
        <w:tblCellMar>
          <w:top w:w="0" w:type="dxa"/>
          <w:left w:w="0" w:type="dxa"/>
          <w:bottom w:w="0" w:type="dxa"/>
          <w:right w:w="0" w:type="dxa"/>
        </w:tblCellMar>
      </w:tblPr>
      <w:tblGrid>
        <w:gridCol w:w="2932"/>
        <w:gridCol w:w="43"/>
        <w:gridCol w:w="43"/>
        <w:gridCol w:w="4549"/>
        <w:gridCol w:w="1324"/>
        <w:gridCol w:w="1315"/>
        <w:gridCol w:w="1058"/>
        <w:gridCol w:w="1172"/>
        <w:gridCol w:w="1075"/>
        <w:gridCol w:w="1917"/>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9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48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79"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6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3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74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996"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9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96"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96"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9"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9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6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4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教师进修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4790" w:type="dxa"/>
        <w:tblInd w:w="0" w:type="dxa"/>
        <w:shd w:val="clear" w:color="auto" w:fill="auto"/>
        <w:tblLayout w:type="autofit"/>
        <w:tblCellMar>
          <w:top w:w="0" w:type="dxa"/>
          <w:left w:w="0" w:type="dxa"/>
          <w:bottom w:w="0" w:type="dxa"/>
          <w:right w:w="0" w:type="dxa"/>
        </w:tblCellMar>
      </w:tblPr>
      <w:tblGrid>
        <w:gridCol w:w="3793"/>
        <w:gridCol w:w="505"/>
        <w:gridCol w:w="1459"/>
        <w:gridCol w:w="4304"/>
        <w:gridCol w:w="505"/>
        <w:gridCol w:w="850"/>
        <w:gridCol w:w="1459"/>
        <w:gridCol w:w="1915"/>
      </w:tblGrid>
      <w:tr>
        <w:tblPrEx>
          <w:shd w:val="clear" w:color="auto" w:fill="auto"/>
          <w:tblCellMar>
            <w:top w:w="0" w:type="dxa"/>
            <w:left w:w="0" w:type="dxa"/>
            <w:bottom w:w="0" w:type="dxa"/>
            <w:right w:w="0" w:type="dxa"/>
          </w:tblCellMar>
        </w:tblPrEx>
        <w:trPr>
          <w:trHeight w:val="390" w:hRule="atLeast"/>
        </w:trPr>
        <w:tc>
          <w:tcPr>
            <w:tcW w:w="14790" w:type="dxa"/>
            <w:gridSpan w:val="8"/>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770" w:type="dxa"/>
        <w:tblInd w:w="0" w:type="dxa"/>
        <w:shd w:val="clear" w:color="auto" w:fill="auto"/>
        <w:tblLayout w:type="autofit"/>
        <w:tblCellMar>
          <w:top w:w="0" w:type="dxa"/>
          <w:left w:w="0" w:type="dxa"/>
          <w:bottom w:w="0" w:type="dxa"/>
          <w:right w:w="0" w:type="dxa"/>
        </w:tblCellMar>
      </w:tblPr>
      <w:tblGrid>
        <w:gridCol w:w="3026"/>
        <w:gridCol w:w="45"/>
        <w:gridCol w:w="45"/>
        <w:gridCol w:w="4695"/>
        <w:gridCol w:w="1834"/>
        <w:gridCol w:w="1834"/>
        <w:gridCol w:w="2291"/>
      </w:tblGrid>
      <w:tr>
        <w:tblPrEx>
          <w:shd w:val="clear" w:color="auto" w:fill="auto"/>
          <w:tblCellMar>
            <w:top w:w="0" w:type="dxa"/>
            <w:left w:w="0" w:type="dxa"/>
            <w:bottom w:w="0" w:type="dxa"/>
            <w:right w:w="0" w:type="dxa"/>
          </w:tblCellMar>
        </w:tblPrEx>
        <w:trPr>
          <w:trHeight w:val="390" w:hRule="atLeast"/>
        </w:trPr>
        <w:tc>
          <w:tcPr>
            <w:tcW w:w="13770" w:type="dxa"/>
            <w:gridSpan w:val="7"/>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090"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090"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090"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737.22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教师进修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970" w:type="dxa"/>
        <w:tblInd w:w="0" w:type="dxa"/>
        <w:shd w:val="clear" w:color="auto" w:fill="auto"/>
        <w:tblLayout w:type="autofit"/>
        <w:tblCellMar>
          <w:top w:w="0" w:type="dxa"/>
          <w:left w:w="0" w:type="dxa"/>
          <w:bottom w:w="0" w:type="dxa"/>
          <w:right w:w="0" w:type="dxa"/>
        </w:tblCellMar>
      </w:tblPr>
      <w:tblGrid>
        <w:gridCol w:w="2112"/>
        <w:gridCol w:w="2893"/>
        <w:gridCol w:w="1423"/>
        <w:gridCol w:w="642"/>
        <w:gridCol w:w="2008"/>
        <w:gridCol w:w="928"/>
        <w:gridCol w:w="642"/>
        <w:gridCol w:w="3657"/>
        <w:gridCol w:w="1123"/>
      </w:tblGrid>
      <w:tr>
        <w:tblPrEx>
          <w:shd w:val="clear" w:color="auto" w:fill="auto"/>
          <w:tblCellMar>
            <w:top w:w="0" w:type="dxa"/>
            <w:left w:w="0" w:type="dxa"/>
            <w:bottom w:w="0" w:type="dxa"/>
            <w:right w:w="0" w:type="dxa"/>
          </w:tblCellMar>
        </w:tblPrEx>
        <w:trPr>
          <w:trHeight w:val="390" w:hRule="atLeast"/>
        </w:trPr>
        <w:tc>
          <w:tcPr>
            <w:tcW w:w="73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300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3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10"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106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367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部门：濮阳县教师进修学校</w:t>
            </w: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0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3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1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6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7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669.72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452.51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680.72</w:t>
            </w:r>
          </w:p>
        </w:tc>
        <w:tc>
          <w:tcPr>
            <w:tcW w:w="0" w:type="auto"/>
            <w:gridSpan w:val="5"/>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56.50</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濮阳县教师进修学校</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濮阳县教师进修学校</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2019年度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2019年度收、支总计均为737.22万元。与上年度相比，收、支总计各增加82.82万元，增长12%。主要原因是人员增资，社保缴费基数增加、专项活动经费增加。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2019年度收入合计737.22万元，其中：财政拨款收入737.22万元，占100%。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2019年度支出合计737.22万元，其中：基本支出680.72万元，占92%；项目支出56.5万元，占8%。</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2019年度财政拨款收、支总计均为737.22万元。与上年度相比，财政拨款收、支总计各增加82.82万元，增长12%。主要原因是人员增资。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2019年度一般公共预算财政拨款支出737.22万元，占本年支出合计的100%。与上年度相比，一般公共预算财政拨款支出增加82.82万元，增长12%。主要原因是人员增资，社保缴费基数增加、专项活动经费增加。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2019年度一般公共预算财政拨款支出737.22万元，主要用于以下方面：一般公共服务（类）支出658万元，占89%；社会保障和就业支出79.22万元，占11%；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2019年度一般公共预算财政拨款支出年初预算为737.22万元，支出决算为737.22万元，完成年初预算的100%。其中：</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2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宋体" w:hAnsi="宋体" w:eastAsia="宋体" w:cs="宋体"/>
          <w:b/>
          <w:color w:val="000000"/>
          <w:kern w:val="0"/>
          <w:sz w:val="31"/>
          <w:szCs w:val="31"/>
          <w:lang w:val="en-US" w:eastAsia="zh-CN" w:bidi="ar"/>
        </w:rPr>
        <w:t>教育（类）进修及培训（款）教师进修（项）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年初预算为658万元，支出决算为 658万元，完成 年初预算的 100%。</w:t>
      </w:r>
    </w:p>
    <w:p>
      <w:pPr>
        <w:keepNext w:val="0"/>
        <w:keepLines w:val="0"/>
        <w:widowControl/>
        <w:suppressLineNumbers w:val="0"/>
        <w:ind w:firstLine="643" w:firstLineChars="200"/>
        <w:jc w:val="left"/>
      </w:pPr>
      <w:r>
        <w:rPr>
          <w:rFonts w:hint="eastAsia" w:ascii="仿宋_GB2312" w:hAnsi="仿宋_GB2312" w:eastAsia="仿宋_GB2312" w:cs="仿宋_GB2312"/>
          <w:b/>
          <w:bCs/>
          <w:color w:val="auto"/>
          <w:sz w:val="32"/>
          <w:szCs w:val="32"/>
          <w:highlight w:val="none"/>
          <w:lang w:val="en-US" w:eastAsia="zh-CN"/>
        </w:rPr>
        <w:t>2．</w:t>
      </w:r>
      <w:r>
        <w:rPr>
          <w:rFonts w:hint="eastAsia" w:ascii="宋体" w:hAnsi="宋体" w:eastAsia="宋体" w:cs="宋体"/>
          <w:b/>
          <w:color w:val="000000"/>
          <w:kern w:val="0"/>
          <w:sz w:val="31"/>
          <w:szCs w:val="31"/>
          <w:lang w:val="en-US" w:eastAsia="zh-CN" w:bidi="ar"/>
        </w:rPr>
        <w:t xml:space="preserve">社会保障和就业支出（类）行政事业单位离退休（款）事 </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color w:val="000000"/>
          <w:kern w:val="0"/>
          <w:sz w:val="31"/>
          <w:szCs w:val="31"/>
          <w:lang w:val="en-US" w:eastAsia="zh-CN" w:bidi="ar"/>
        </w:rPr>
        <w:t>业单位离退（项）。</w:t>
      </w:r>
      <w:r>
        <w:rPr>
          <w:rFonts w:hint="eastAsia" w:ascii="仿宋_GB2312" w:hAnsi="仿宋_GB2312" w:eastAsia="仿宋_GB2312" w:cs="仿宋_GB2312"/>
          <w:b w:val="0"/>
          <w:bCs w:val="0"/>
          <w:color w:val="auto"/>
          <w:sz w:val="32"/>
          <w:szCs w:val="32"/>
          <w:highlight w:val="none"/>
          <w:lang w:val="en-US" w:eastAsia="zh-CN"/>
        </w:rPr>
        <w:t>年初预算为79.21 万元，支出决算为79.21万元，完成年初预算的100%。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2019年度一般公共预算财政拨款基本支出737.22万元。与上年度相比，一般公共预算财政拨款基本支出增加82.82万元，增长12%。主要原因是人员增资，社保缴费基数增加。其中：</w:t>
      </w:r>
      <w:r>
        <w:rPr>
          <w:rFonts w:hint="eastAsia" w:ascii="仿宋_GB2312" w:hAnsi="仿宋_GB2312" w:eastAsia="仿宋_GB2312" w:cs="仿宋_GB2312"/>
          <w:b w:val="0"/>
          <w:bCs w:val="0"/>
          <w:color w:val="auto"/>
          <w:sz w:val="32"/>
          <w:szCs w:val="32"/>
          <w:highlight w:val="none"/>
          <w:lang w:val="en-US" w:eastAsia="zh-CN"/>
        </w:rPr>
        <w:t>人员经费680.72万元，主要包括：基本工资、津贴补贴、绩效工资、机关事业单位基本养老保险缴费、其他社会保障缴费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；公用经费56.5万元，主要包括：印刷费、租赁费、其他交通费用。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widowControl/>
        <w:suppressLineNumbers w:val="0"/>
        <w:ind w:firstLine="930" w:firstLineChars="300"/>
        <w:jc w:val="left"/>
      </w:pPr>
      <w:r>
        <w:rPr>
          <w:rFonts w:hint="eastAsia" w:ascii="宋体" w:hAnsi="宋体" w:eastAsia="宋体" w:cs="宋体"/>
          <w:color w:val="000000"/>
          <w:kern w:val="0"/>
          <w:sz w:val="31"/>
          <w:szCs w:val="31"/>
          <w:lang w:val="en-US" w:eastAsia="zh-CN" w:bidi="ar"/>
        </w:rPr>
        <w:t>201</w:t>
      </w:r>
      <w:r>
        <w:rPr>
          <w:rFonts w:hint="eastAsia" w:ascii="宋体" w:hAnsi="宋体" w:cs="宋体"/>
          <w:color w:val="000000"/>
          <w:kern w:val="0"/>
          <w:sz w:val="31"/>
          <w:szCs w:val="31"/>
          <w:lang w:val="en-US" w:eastAsia="zh-CN" w:bidi="ar"/>
        </w:rPr>
        <w:t>9</w:t>
      </w:r>
      <w:r>
        <w:rPr>
          <w:rFonts w:hint="eastAsia" w:ascii="宋体" w:hAnsi="宋体" w:eastAsia="宋体" w:cs="宋体"/>
          <w:color w:val="000000"/>
          <w:kern w:val="0"/>
          <w:sz w:val="31"/>
          <w:szCs w:val="31"/>
          <w:lang w:val="en-US" w:eastAsia="zh-CN" w:bidi="ar"/>
        </w:rPr>
        <w:t xml:space="preserve">年，濮阳县进修学校共组织对 0 个项目进行了预算绩效评价，涉及一般公共预算当年财政拨款 0 万元。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widowControl/>
        <w:suppressLineNumbers w:val="0"/>
        <w:jc w:val="left"/>
      </w:pPr>
      <w:r>
        <w:rPr>
          <w:rFonts w:hint="eastAsia" w:ascii="仿宋" w:hAnsi="仿宋" w:eastAsia="仿宋" w:cs="仿宋"/>
          <w:color w:val="auto"/>
          <w:sz w:val="32"/>
          <w:szCs w:val="32"/>
          <w:highlight w:val="none"/>
          <w:lang w:val="en-US" w:eastAsia="zh-CN"/>
        </w:rPr>
        <w:t xml:space="preserve">     </w:t>
      </w:r>
      <w:r>
        <w:rPr>
          <w:rFonts w:hint="eastAsia" w:ascii="宋体" w:hAnsi="宋体" w:eastAsia="宋体" w:cs="宋体"/>
          <w:color w:val="000000"/>
          <w:kern w:val="0"/>
          <w:sz w:val="31"/>
          <w:szCs w:val="31"/>
          <w:lang w:val="en-US" w:eastAsia="zh-CN" w:bidi="ar"/>
        </w:rPr>
        <w:t>一是建立完善绩效管理制度。加快建立完善预算绩效管 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本年度我单位项目绩效自评结果为良好</w:t>
      </w:r>
      <w:r>
        <w:rPr>
          <w:rFonts w:hint="eastAsia" w:ascii="宋体" w:hAnsi="宋体" w:eastAsia="宋体" w:cs="宋体"/>
          <w:color w:val="000000"/>
          <w:kern w:val="0"/>
          <w:sz w:val="24"/>
          <w:szCs w:val="24"/>
          <w:lang w:val="en-US" w:eastAsia="zh-CN" w:bidi="ar"/>
        </w:rPr>
        <w:t>。</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spacing w:line="59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6"/>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2019 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pStyle w:val="2"/>
        <w:ind w:firstLine="640" w:firstLineChars="200"/>
        <w:rPr>
          <w:rFonts w:hint="eastAsia"/>
          <w:lang w:eastAsia="zh-CN"/>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MT">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159C78E"/>
    <w:multiLevelType w:val="singleLevel"/>
    <w:tmpl w:val="5159C78E"/>
    <w:lvl w:ilvl="0" w:tentative="0">
      <w:start w:val="3"/>
      <w:numFmt w:val="decimal"/>
      <w:suff w:val="nothing"/>
      <w:lvlText w:val="%1．"/>
      <w:lvlJc w:val="left"/>
    </w:lvl>
  </w:abstractNum>
  <w:abstractNum w:abstractNumId="3">
    <w:nsid w:val="5971BE17"/>
    <w:multiLevelType w:val="singleLevel"/>
    <w:tmpl w:val="5971BE17"/>
    <w:lvl w:ilvl="0" w:tentative="0">
      <w:start w:val="1"/>
      <w:numFmt w:val="chineseCounting"/>
      <w:suff w:val="nothing"/>
      <w:lvlText w:val="%1、"/>
      <w:lvlJc w:val="left"/>
    </w:lvl>
  </w:abstractNum>
  <w:abstractNum w:abstractNumId="4">
    <w:nsid w:val="5E30ADAE"/>
    <w:multiLevelType w:val="singleLevel"/>
    <w:tmpl w:val="5E30ADAE"/>
    <w:lvl w:ilvl="0" w:tentative="0">
      <w:start w:val="1"/>
      <w:numFmt w:val="chineseCounting"/>
      <w:suff w:val="nothing"/>
      <w:lvlText w:val="%1、"/>
      <w:lvlJc w:val="left"/>
      <w:rPr>
        <w:rFonts w:hint="eastAsia"/>
      </w:rPr>
    </w:lvl>
  </w:abstractNum>
  <w:abstractNum w:abstractNumId="5">
    <w:nsid w:val="74DE874F"/>
    <w:multiLevelType w:val="singleLevel"/>
    <w:tmpl w:val="74DE874F"/>
    <w:lvl w:ilvl="0" w:tentative="0">
      <w:start w:val="1"/>
      <w:numFmt w:val="decimal"/>
      <w:suff w:val="nothing"/>
      <w:lvlText w:val="%1．"/>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3DE719C"/>
    <w:rsid w:val="0BA304CD"/>
    <w:rsid w:val="0D9062E7"/>
    <w:rsid w:val="12F81E26"/>
    <w:rsid w:val="15905ECD"/>
    <w:rsid w:val="1C5C5DAD"/>
    <w:rsid w:val="1F2729EF"/>
    <w:rsid w:val="1F811484"/>
    <w:rsid w:val="26FB3DD6"/>
    <w:rsid w:val="2CD7012E"/>
    <w:rsid w:val="2DA91204"/>
    <w:rsid w:val="2E642840"/>
    <w:rsid w:val="2E7E72B8"/>
    <w:rsid w:val="2F124E7D"/>
    <w:rsid w:val="2FD3060D"/>
    <w:rsid w:val="31EE2784"/>
    <w:rsid w:val="33C7781A"/>
    <w:rsid w:val="387927B5"/>
    <w:rsid w:val="3E396404"/>
    <w:rsid w:val="3E8A5D1C"/>
    <w:rsid w:val="3ECC5C74"/>
    <w:rsid w:val="48056DC3"/>
    <w:rsid w:val="4D3D47C6"/>
    <w:rsid w:val="4DC40B8F"/>
    <w:rsid w:val="4F702056"/>
    <w:rsid w:val="4FC10099"/>
    <w:rsid w:val="50C8334B"/>
    <w:rsid w:val="528B0752"/>
    <w:rsid w:val="536A1A37"/>
    <w:rsid w:val="56E244BA"/>
    <w:rsid w:val="595574E2"/>
    <w:rsid w:val="5B0E494B"/>
    <w:rsid w:val="5BBF33CD"/>
    <w:rsid w:val="5BE7546A"/>
    <w:rsid w:val="5D914E11"/>
    <w:rsid w:val="5E962EC4"/>
    <w:rsid w:val="5F152507"/>
    <w:rsid w:val="606D3F2E"/>
    <w:rsid w:val="63056908"/>
    <w:rsid w:val="66132327"/>
    <w:rsid w:val="6B212BEB"/>
    <w:rsid w:val="6B227233"/>
    <w:rsid w:val="6B5F437E"/>
    <w:rsid w:val="6D101368"/>
    <w:rsid w:val="6E2D0B6D"/>
    <w:rsid w:val="6F4F642F"/>
    <w:rsid w:val="6F640286"/>
    <w:rsid w:val="71C52037"/>
    <w:rsid w:val="72567CE5"/>
    <w:rsid w:val="747475CC"/>
    <w:rsid w:val="75265254"/>
    <w:rsid w:val="78C018EE"/>
    <w:rsid w:val="78E64AB9"/>
    <w:rsid w:val="7A38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2020-12-01T02:03:20Z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