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2018年度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共青团濮阳县委</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二〇一九年九月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共青团濮阳县委</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共青团濮阳县委</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（一）领导全县的共青团工作。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（二）领导全县青联、学联和少先队工作，对全县性青年社团组织实行指导和管理。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（三）参与制定青少年事业发展规划和青少年工作政策，对青少年活动阵地、青少年服务机构建设和青少年读物发行等事物进行规划和管理。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（四）参与有关青少年事务的法规调研及实施，协助党和政府处理、协调与青少年利益相关的事务。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（五）调查青年思想动态和青年工作状况，研究青少年运动、工作理论和思想教育问题，提出相应对策，开展各种活动。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（六）协助政府教育部门做好中、小学校的教育管理工作，维护学校稳定和社会安定团结。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（七）在全县经济建设中，组织和带领团员发挥生力军和突击队作用。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（八）负责与县外青少年团体、政府青年机构、国际地区性青年组织及其他友好团体的交流工作，负责青年对外宣传工作。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（九）参与制订县内有关青年统战工作的政策，做好青年统战对象的团结教育工作，维护和促进祖国统一和和民族团结。</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（十）承担县委、县政府和团市委交办的有关事项。</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共青团濮阳县委内设机构2个，包括：办公室、组织宣传部。另设有二级单位濮阳县实施希望工程办公室。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从决算单位构成看，共青团濮阳县委部门决算包括：本级决算。濮阳县实施希望工程办公室没有独立账户，不涉及部门决算，</w:t>
      </w:r>
      <w:r>
        <w:rPr>
          <w:rFonts w:hint="eastAsia" w:ascii="仿宋" w:hAnsi="仿宋" w:eastAsia="仿宋" w:cs="仿宋"/>
          <w:b w:val="0"/>
          <w:bCs w:val="0"/>
          <w:color w:val="000000"/>
          <w:sz w:val="32"/>
          <w:szCs w:val="32"/>
          <w:highlight w:val="none"/>
          <w:lang w:eastAsia="zh-CN"/>
        </w:rPr>
        <w:t>本级决算即汇总决算。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6"/>
        <w:tblW w:w="15428" w:type="dxa"/>
        <w:tblInd w:w="0" w:type="dxa"/>
        <w:shd w:val="clear" w:color="auto" w:fill="auto"/>
        <w:tblLayout w:type="fixed"/>
        <w:tblCellMar>
          <w:top w:w="0" w:type="dxa"/>
          <w:left w:w="0" w:type="dxa"/>
          <w:bottom w:w="0" w:type="dxa"/>
          <w:right w:w="0" w:type="dxa"/>
        </w:tblCellMar>
      </w:tblPr>
      <w:tblGrid>
        <w:gridCol w:w="5429"/>
        <w:gridCol w:w="789"/>
        <w:gridCol w:w="1160"/>
        <w:gridCol w:w="4857"/>
        <w:gridCol w:w="789"/>
        <w:gridCol w:w="2404"/>
      </w:tblGrid>
      <w:tr>
        <w:tblPrEx>
          <w:shd w:val="clear" w:color="auto" w:fill="auto"/>
          <w:tblCellMar>
            <w:top w:w="0" w:type="dxa"/>
            <w:left w:w="0" w:type="dxa"/>
            <w:bottom w:w="0" w:type="dxa"/>
            <w:right w:w="0" w:type="dxa"/>
          </w:tblCellMar>
        </w:tblPrEx>
        <w:trPr>
          <w:trHeight w:val="390"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5429"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16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85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789"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404"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378" w:type="dxa"/>
            <w:gridSpan w:val="3"/>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8050" w:type="dxa"/>
            <w:gridSpan w:val="3"/>
            <w:tcBorders>
              <w:top w:val="single" w:color="000000" w:sz="4" w:space="0"/>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04"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429"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16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857"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789"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40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r>
      <w:tr>
        <w:tblPrEx>
          <w:tblCellMar>
            <w:top w:w="0" w:type="dxa"/>
            <w:left w:w="0" w:type="dxa"/>
            <w:bottom w:w="0" w:type="dxa"/>
            <w:right w:w="0" w:type="dxa"/>
          </w:tblCellMar>
        </w:tblPrEx>
        <w:trPr>
          <w:trHeight w:val="308" w:hRule="atLeast"/>
        </w:trPr>
        <w:tc>
          <w:tcPr>
            <w:tcW w:w="15428"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880"/>
        <w:gridCol w:w="3350"/>
        <w:gridCol w:w="1600"/>
        <w:gridCol w:w="1600"/>
        <w:gridCol w:w="1600"/>
        <w:gridCol w:w="1599"/>
        <w:gridCol w:w="1600"/>
        <w:gridCol w:w="1599"/>
        <w:gridCol w:w="1600"/>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9030"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6398"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5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5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88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5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35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139.57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139.57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265"/>
        <w:gridCol w:w="264"/>
        <w:gridCol w:w="268"/>
        <w:gridCol w:w="4995"/>
        <w:gridCol w:w="1653"/>
        <w:gridCol w:w="1581"/>
        <w:gridCol w:w="1580"/>
        <w:gridCol w:w="1507"/>
        <w:gridCol w:w="1507"/>
        <w:gridCol w:w="1808"/>
      </w:tblGrid>
      <w:tr>
        <w:tblPrEx>
          <w:shd w:val="clear" w:color="auto" w:fill="auto"/>
          <w:tblCellMar>
            <w:top w:w="0" w:type="dxa"/>
            <w:left w:w="0" w:type="dxa"/>
            <w:bottom w:w="0" w:type="dxa"/>
            <w:right w:w="0" w:type="dxa"/>
          </w:tblCellMar>
        </w:tblPrEx>
        <w:trPr>
          <w:trHeight w:val="390"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265" w:type="dxa"/>
            <w:tcBorders>
              <w:top w:val="nil"/>
              <w:left w:val="nil"/>
              <w:bottom w:val="nil"/>
              <w:right w:val="nil"/>
            </w:tcBorders>
            <w:shd w:val="clear" w:color="auto" w:fill="FFFFFF"/>
            <w:noWrap/>
            <w:tcMar>
              <w:top w:w="15" w:type="dxa"/>
              <w:left w:w="15" w:type="dxa"/>
              <w:right w:w="15" w:type="dxa"/>
            </w:tcMar>
            <w:vAlign w:val="bottom"/>
          </w:tcPr>
          <w:p>
            <w:pPr>
              <w:rPr>
                <w:rFonts w:hint="eastAsia" w:ascii="Arial" w:hAnsi="Arial" w:cs="Arial"/>
                <w:i w:val="0"/>
                <w:color w:val="000000"/>
                <w:sz w:val="20"/>
                <w:szCs w:val="20"/>
                <w:u w:val="none"/>
              </w:rPr>
            </w:pPr>
          </w:p>
        </w:tc>
        <w:tc>
          <w:tcPr>
            <w:tcW w:w="264"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268"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4995"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653"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1"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80"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507" w:type="dxa"/>
            <w:tcBorders>
              <w:top w:val="nil"/>
              <w:left w:val="nil"/>
              <w:bottom w:val="nil"/>
              <w:right w:val="nil"/>
            </w:tcBorders>
            <w:shd w:val="clear" w:color="auto" w:fill="FFFFFF"/>
            <w:noWrap/>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7445"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7983" w:type="dxa"/>
            <w:gridSpan w:val="5"/>
            <w:tcBorders>
              <w:top w:val="nil"/>
              <w:left w:val="nil"/>
              <w:bottom w:val="nil"/>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5792"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53"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81"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8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507"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808"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797"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995" w:type="dxa"/>
            <w:vMerge w:val="restart"/>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97"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797"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5" w:type="dxa"/>
            <w:vMerge w:val="continue"/>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1"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8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7"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53"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81"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8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7"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08"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792"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139.57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84.57</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97"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99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6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0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4306"/>
        <w:gridCol w:w="564"/>
        <w:gridCol w:w="1630"/>
        <w:gridCol w:w="4308"/>
        <w:gridCol w:w="564"/>
        <w:gridCol w:w="948"/>
        <w:gridCol w:w="1629"/>
        <w:gridCol w:w="1479"/>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1372"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4056"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28"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4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3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94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4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43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94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16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139.57</w:t>
            </w:r>
          </w:p>
        </w:tc>
        <w:tc>
          <w:tcPr>
            <w:tcW w:w="147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62" w:hRule="atLeast"/>
        </w:trPr>
        <w:tc>
          <w:tcPr>
            <w:tcW w:w="1542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539"/>
        <w:gridCol w:w="6482"/>
        <w:gridCol w:w="2533"/>
        <w:gridCol w:w="2438"/>
        <w:gridCol w:w="2436"/>
      </w:tblGrid>
      <w:tr>
        <w:tblPrEx>
          <w:shd w:val="clear" w:color="auto" w:fill="auto"/>
          <w:tblCellMar>
            <w:top w:w="0" w:type="dxa"/>
            <w:left w:w="0" w:type="dxa"/>
            <w:bottom w:w="0" w:type="dxa"/>
            <w:right w:w="0" w:type="dxa"/>
          </w:tblCellMar>
        </w:tblPrEx>
        <w:trPr>
          <w:trHeight w:val="390"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5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8021" w:type="dxa"/>
            <w:gridSpan w:val="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7407"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802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40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53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48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3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8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802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139.57</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84.57</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55.00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129.48</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74.48</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53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4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5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615"/>
        <w:gridCol w:w="2952"/>
        <w:gridCol w:w="1508"/>
        <w:gridCol w:w="616"/>
        <w:gridCol w:w="2324"/>
        <w:gridCol w:w="1508"/>
        <w:gridCol w:w="615"/>
        <w:gridCol w:w="3782"/>
        <w:gridCol w:w="1508"/>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85" w:hRule="atLeast"/>
        </w:trPr>
        <w:tc>
          <w:tcPr>
            <w:tcW w:w="15428"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CellMar>
            <w:top w:w="0" w:type="dxa"/>
            <w:left w:w="0" w:type="dxa"/>
            <w:bottom w:w="0" w:type="dxa"/>
            <w:right w:w="0" w:type="dxa"/>
          </w:tblCellMar>
        </w:tblPrEx>
        <w:trPr>
          <w:trHeight w:val="255" w:hRule="atLeast"/>
        </w:trPr>
        <w:tc>
          <w:tcPr>
            <w:tcW w:w="56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9737"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507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353"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6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9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3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78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6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8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77.29</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41.37</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20.77</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5.06</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6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8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56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77.29</w:t>
            </w:r>
          </w:p>
        </w:tc>
        <w:tc>
          <w:tcPr>
            <w:tcW w:w="88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w:t>
            </w:r>
          </w:p>
        </w:tc>
      </w:tr>
      <w:tr>
        <w:tblPrEx>
          <w:tblCellMar>
            <w:top w:w="0" w:type="dxa"/>
            <w:left w:w="0" w:type="dxa"/>
            <w:bottom w:w="0" w:type="dxa"/>
            <w:right w:w="0" w:type="dxa"/>
          </w:tblCellMar>
        </w:tblPrEx>
        <w:trPr>
          <w:trHeight w:val="308" w:hRule="atLeast"/>
        </w:trPr>
        <w:tc>
          <w:tcPr>
            <w:tcW w:w="15428"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286"/>
        <w:gridCol w:w="1285"/>
        <w:gridCol w:w="1286"/>
        <w:gridCol w:w="1285"/>
        <w:gridCol w:w="1286"/>
        <w:gridCol w:w="1286"/>
        <w:gridCol w:w="1286"/>
        <w:gridCol w:w="1286"/>
        <w:gridCol w:w="1286"/>
        <w:gridCol w:w="1286"/>
        <w:gridCol w:w="1285"/>
        <w:gridCol w:w="1285"/>
      </w:tblGrid>
      <w:tr>
        <w:tblPrEx>
          <w:shd w:val="clear" w:color="auto" w:fill="auto"/>
          <w:tblCellMar>
            <w:top w:w="0" w:type="dxa"/>
            <w:left w:w="0" w:type="dxa"/>
            <w:bottom w:w="0" w:type="dxa"/>
            <w:right w:w="0" w:type="dxa"/>
          </w:tblCellMar>
        </w:tblPrEx>
        <w:trPr>
          <w:trHeight w:val="540"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15428"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900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6428" w:type="dxa"/>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71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1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8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8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28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8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28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15" w:hRule="atLeast"/>
        </w:trPr>
        <w:tc>
          <w:tcPr>
            <w:tcW w:w="1542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fixed"/>
        <w:tblCellMar>
          <w:top w:w="0" w:type="dxa"/>
          <w:left w:w="0" w:type="dxa"/>
          <w:bottom w:w="0" w:type="dxa"/>
          <w:right w:w="0" w:type="dxa"/>
        </w:tblCellMar>
      </w:tblPr>
      <w:tblGrid>
        <w:gridCol w:w="1306"/>
        <w:gridCol w:w="1918"/>
        <w:gridCol w:w="2034"/>
        <w:gridCol w:w="2033"/>
        <w:gridCol w:w="2034"/>
        <w:gridCol w:w="2033"/>
        <w:gridCol w:w="2033"/>
        <w:gridCol w:w="203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5428"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7291"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部门：共产主义青年团濮阳县委员会</w:t>
            </w:r>
          </w:p>
        </w:tc>
        <w:tc>
          <w:tcPr>
            <w:tcW w:w="8137" w:type="dxa"/>
            <w:gridSpan w:val="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32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03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0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61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03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918"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18"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322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0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3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42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shd w:val="clear" w:fill="FFFF00"/>
        <w:ind w:firstLine="640" w:firstLineChars="200"/>
        <w:jc w:val="both"/>
        <w:rPr>
          <w:rFonts w:hint="eastAsia" w:ascii="仿宋_GB2312" w:hAnsi="仿宋_GB2312" w:eastAsia="仿宋_GB2312" w:cs="仿宋_GB2312"/>
          <w:color w:val="auto"/>
          <w:sz w:val="32"/>
          <w:szCs w:val="32"/>
          <w:highlight w:val="none"/>
          <w:lang w:val="en-US" w:eastAsia="zh-CN"/>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2018年度收、支总计均为139.57万元。与上年度相比，收、支总计各增加18.45万元，增长15.2%。主要原因是人员增资，社保缴费基数增加、专项活动经费增加。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2018年度收入合计139.57万元，其中：财政拨款收入139.57万元，占100%。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2018年度支出合计139.57万元，其中：基本支出84.57万元，占60.6%；项目支出55万元，占39.4%。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2018年度财政拨款收、支总计均为139.57万元。与上年度相比，财政拨款收、支总计各增加18.45万元，增长15.2%。主要原因是人员增资。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2018年度一般公共预算财政拨款支出139.57万元，占本年支出合计的100%。与上年度相比，一般公共预算财政拨款支出增加18.45万元，增长15.2%。主要原因是人员增资，社保缴费基数增加、专项活动经费增加。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2018年度一般公共预算财政拨款支出139.57万元，主要用于以下方面：一般公共服务（类）支出129.48万元，占92.8%；社会保障和就业支出7.05万元，占5.1%；医疗卫生与计划生育支出3.04，占2.1%。</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2018年度一般公共预算财政拨款支出年初预算为119.62万元，支出决算为139.57万元，完成年初预算的117%。其中：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1．一般公共服务（类）群众团体事务（款）行政运行 （项）。</w:t>
      </w:r>
      <w:r>
        <w:rPr>
          <w:rFonts w:hint="eastAsia" w:ascii="仿宋_GB2312" w:hAnsi="仿宋_GB2312" w:eastAsia="仿宋_GB2312" w:cs="仿宋_GB2312"/>
          <w:b w:val="0"/>
          <w:bCs w:val="0"/>
          <w:color w:val="auto"/>
          <w:sz w:val="32"/>
          <w:szCs w:val="32"/>
          <w:highlight w:val="none"/>
          <w:lang w:val="en-US" w:eastAsia="zh-CN"/>
        </w:rPr>
        <w:t>年初预算为 57.73万元，支出决算为 74.48 万元，完成 年初预算的 129%。</w:t>
      </w:r>
      <w:r>
        <w:rPr>
          <w:rFonts w:hint="eastAsia" w:ascii="仿宋_GB2312" w:hAnsi="仿宋_GB2312" w:eastAsia="仿宋_GB2312" w:cs="仿宋_GB2312"/>
          <w:color w:val="auto"/>
          <w:sz w:val="32"/>
          <w:szCs w:val="32"/>
          <w:highlight w:val="none"/>
          <w:lang w:val="en-US" w:eastAsia="zh-CN"/>
        </w:rPr>
        <w:t>决算数与年初预算数存在差异的主要原因是人员增资。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2．一般公共服务（类）群众团体事务（款）一般行政管理事务（项）。</w:t>
      </w:r>
      <w:r>
        <w:rPr>
          <w:rFonts w:hint="eastAsia" w:ascii="仿宋_GB2312" w:hAnsi="仿宋_GB2312" w:eastAsia="仿宋_GB2312" w:cs="仿宋_GB2312"/>
          <w:b w:val="0"/>
          <w:bCs w:val="0"/>
          <w:color w:val="auto"/>
          <w:sz w:val="32"/>
          <w:szCs w:val="32"/>
          <w:highlight w:val="none"/>
          <w:lang w:val="en-US" w:eastAsia="zh-CN"/>
        </w:rPr>
        <w:t>年初预算为55 万元，支出决算为55万元，完成年初预算的100%。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年初预算数为 6.89 万 元，支出决算数为7.05 万元，完成年初预算的 102%。</w:t>
      </w:r>
      <w:r>
        <w:rPr>
          <w:rFonts w:hint="eastAsia" w:ascii="仿宋_GB2312" w:hAnsi="仿宋_GB2312" w:eastAsia="仿宋_GB2312" w:cs="仿宋_GB2312"/>
          <w:color w:val="auto"/>
          <w:sz w:val="32"/>
          <w:szCs w:val="32"/>
          <w:highlight w:val="none"/>
          <w:lang w:val="en-US" w:eastAsia="zh-CN"/>
        </w:rPr>
        <w:t>决算数与年初预算数存在差异的主要原因是人员增资,缴费基数变大。</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4.医疗卫生与计划生育支出（类）行政事业单位医疗（款） 行政单位医疗（项）。</w:t>
      </w:r>
      <w:r>
        <w:rPr>
          <w:rFonts w:hint="eastAsia" w:ascii="仿宋_GB2312" w:hAnsi="仿宋_GB2312" w:eastAsia="仿宋_GB2312" w:cs="仿宋_GB2312"/>
          <w:b w:val="0"/>
          <w:bCs w:val="0"/>
          <w:color w:val="auto"/>
          <w:sz w:val="32"/>
          <w:szCs w:val="32"/>
          <w:highlight w:val="none"/>
          <w:lang w:val="en-US" w:eastAsia="zh-CN"/>
        </w:rPr>
        <w:t>年初未列入预算，支出决算数为1.37万元。</w:t>
      </w:r>
      <w:r>
        <w:rPr>
          <w:rFonts w:hint="eastAsia" w:ascii="仿宋_GB2312" w:hAnsi="仿宋_GB2312" w:eastAsia="仿宋_GB2312" w:cs="仿宋_GB2312"/>
          <w:color w:val="auto"/>
          <w:sz w:val="32"/>
          <w:szCs w:val="32"/>
          <w:highlight w:val="none"/>
          <w:lang w:val="en-US" w:eastAsia="zh-CN"/>
        </w:rPr>
        <w:t>未列入预算原因是列入社会保障和就业支出里。</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医疗卫生与计划生育支出（类）行政事业单位医疗（款）事业单位医疗（项）。</w:t>
      </w:r>
      <w:r>
        <w:rPr>
          <w:rFonts w:hint="eastAsia" w:ascii="仿宋_GB2312" w:hAnsi="仿宋_GB2312" w:eastAsia="仿宋_GB2312" w:cs="仿宋_GB2312"/>
          <w:b w:val="0"/>
          <w:bCs w:val="0"/>
          <w:color w:val="auto"/>
          <w:sz w:val="32"/>
          <w:szCs w:val="32"/>
          <w:highlight w:val="none"/>
          <w:lang w:val="en-US" w:eastAsia="zh-CN"/>
        </w:rPr>
        <w:t>年初未列入预算，支出决算数为1.67万元。</w:t>
      </w:r>
      <w:r>
        <w:rPr>
          <w:rFonts w:hint="eastAsia" w:ascii="仿宋_GB2312" w:hAnsi="仿宋_GB2312" w:eastAsia="仿宋_GB2312" w:cs="仿宋_GB2312"/>
          <w:color w:val="auto"/>
          <w:sz w:val="32"/>
          <w:szCs w:val="32"/>
          <w:highlight w:val="none"/>
          <w:lang w:val="en-US" w:eastAsia="zh-CN"/>
        </w:rPr>
        <w:t>未列入预算原因是列入社会保障和就业支出里。</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2018年度一般公共预算财政拨款基本支出84.57万元。其中：</w:t>
      </w:r>
      <w:r>
        <w:rPr>
          <w:rFonts w:hint="eastAsia" w:ascii="仿宋_GB2312" w:hAnsi="仿宋_GB2312" w:eastAsia="仿宋_GB2312" w:cs="仿宋_GB2312"/>
          <w:b w:val="0"/>
          <w:bCs w:val="0"/>
          <w:color w:val="auto"/>
          <w:sz w:val="32"/>
          <w:szCs w:val="32"/>
          <w:highlight w:val="none"/>
          <w:lang w:val="en-US" w:eastAsia="zh-CN"/>
        </w:rPr>
        <w:t>人员经费77.29万元，主要包括：基本工资、津贴补贴、绩效工资、机关事业单位基本养老保险缴费、其他社会保障缴费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；公用经费7.28万元，主要包括：印刷费、其他交通费用。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2018年度“三公”经费财政拨款支出预算为0万元，支出决算为0万元，完成预算的100%。。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2018年度“三公”经费财政拨款支出决算中，因公出国（境）费支出决算0万元，完成预算的100%；公务用车购置及运行费支出决算0万元，完成预算的100%；公务接待费支出决算0万元，完成预算的100%，占100%。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0万元。2018年期末，部门开支财政拨款的公务用车保有量为0辆。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0万元。2018年共接待国（境）外来访团组0个、来访外宾0人次（不包括陪同人员）。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0万元。2018年共接待国内来访团组0个、来宾0人次（不包括陪同人员）。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根据财政预算管理要求，共青团濮阳县委加强在资金使用过程中管理，对2019年度一般公共预算项目支出全面开展绩效自评。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团县委充分认识项目绩效自评的重要性，自评覆盖率达 到 100%，所有项目基本达到预期目标，群众满意度高。</w:t>
      </w:r>
      <w:r>
        <w:rPr>
          <w:rFonts w:hint="eastAsia" w:ascii="仿宋" w:hAnsi="仿宋" w:eastAsia="仿宋" w:cs="仿宋"/>
          <w:b/>
          <w:bCs/>
          <w:color w:val="auto"/>
          <w:sz w:val="32"/>
          <w:szCs w:val="32"/>
          <w:highlight w:val="none"/>
          <w:lang w:val="en-US" w:eastAsia="zh-CN"/>
        </w:rPr>
        <w:t>九、政府性基金预算财政拨款支出决算情况说明</w:t>
      </w:r>
    </w:p>
    <w:p>
      <w:pPr>
        <w:widowControl/>
        <w:spacing w:beforeLines="0" w:afterLines="0" w:line="59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我</w:t>
      </w:r>
      <w:r>
        <w:rPr>
          <w:rFonts w:hint="eastAsia" w:ascii="仿宋" w:hAnsi="仿宋" w:eastAsia="仿宋" w:cs="仿宋"/>
          <w:sz w:val="32"/>
          <w:szCs w:val="32"/>
          <w:lang w:val="en-US" w:eastAsia="zh-CN"/>
        </w:rPr>
        <w:t>单位2018年度</w:t>
      </w:r>
      <w:r>
        <w:rPr>
          <w:rFonts w:hint="eastAsia" w:ascii="仿宋" w:hAnsi="仿宋" w:eastAsia="仿宋" w:cs="仿宋"/>
          <w:sz w:val="32"/>
          <w:szCs w:val="32"/>
          <w:lang w:eastAsia="zh-CN"/>
        </w:rPr>
        <w:t>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eastAsia="黑体"/>
          <w:sz w:val="32"/>
          <w:szCs w:val="32"/>
        </w:rPr>
      </w:pPr>
      <w:r>
        <w:rPr>
          <w:rFonts w:hint="eastAsia" w:ascii="仿宋_GB2312" w:hAnsi="仿宋_GB2312" w:eastAsia="仿宋_GB2312" w:cs="仿宋_GB2312"/>
          <w:color w:val="auto"/>
          <w:sz w:val="32"/>
          <w:szCs w:val="32"/>
          <w:highlight w:val="none"/>
          <w:lang w:val="en-US" w:eastAsia="zh-CN"/>
        </w:rPr>
        <w:t>2018年度机关运行经费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初预算为7.28万元，支出决算为7.28万元，完成年初预算的100%。</w:t>
      </w:r>
      <w:r>
        <w:rPr>
          <w:rFonts w:hint="eastAsia" w:ascii="宋体" w:hAnsi="宋体" w:eastAsia="宋体" w:cs="宋体"/>
          <w:sz w:val="32"/>
          <w:szCs w:val="32"/>
        </w:rPr>
        <w:t>与 201</w:t>
      </w:r>
      <w:r>
        <w:rPr>
          <w:rFonts w:hint="eastAsia" w:ascii="宋体" w:hAnsi="宋体" w:eastAsia="宋体" w:cs="宋体"/>
          <w:sz w:val="32"/>
          <w:szCs w:val="32"/>
          <w:lang w:val="en-US" w:eastAsia="zh-CN"/>
        </w:rPr>
        <w:t>7</w:t>
      </w:r>
      <w:r>
        <w:rPr>
          <w:rFonts w:hint="eastAsia" w:ascii="宋体" w:hAnsi="宋体" w:eastAsia="宋体" w:cs="宋体"/>
          <w:sz w:val="32"/>
          <w:szCs w:val="32"/>
        </w:rPr>
        <w:t xml:space="preserve"> 年相</w:t>
      </w:r>
      <w:r>
        <w:rPr>
          <w:rFonts w:hint="eastAsia" w:ascii="宋体" w:hAnsi="宋体" w:eastAsia="宋体" w:cs="宋体"/>
          <w:position w:val="1"/>
          <w:sz w:val="32"/>
          <w:szCs w:val="32"/>
        </w:rPr>
        <w:t>比</w:t>
      </w:r>
      <w:r>
        <w:rPr>
          <w:rFonts w:hint="eastAsia" w:ascii="宋体" w:hAnsi="宋体" w:eastAsia="宋体" w:cs="宋体"/>
          <w:spacing w:val="-22"/>
          <w:position w:val="1"/>
          <w:sz w:val="32"/>
          <w:szCs w:val="32"/>
        </w:rPr>
        <w:t>，</w:t>
      </w:r>
      <w:r>
        <w:rPr>
          <w:rFonts w:hint="eastAsia" w:ascii="宋体" w:hAnsi="宋体" w:eastAsia="宋体" w:cs="宋体"/>
          <w:position w:val="1"/>
          <w:sz w:val="32"/>
          <w:szCs w:val="32"/>
        </w:rPr>
        <w:t>收</w:t>
      </w:r>
      <w:r>
        <w:rPr>
          <w:rFonts w:hint="eastAsia" w:ascii="宋体" w:hAnsi="宋体" w:eastAsia="宋体" w:cs="宋体"/>
          <w:spacing w:val="-22"/>
          <w:position w:val="1"/>
          <w:sz w:val="32"/>
          <w:szCs w:val="32"/>
        </w:rPr>
        <w:t>、</w:t>
      </w:r>
      <w:r>
        <w:rPr>
          <w:rFonts w:hint="eastAsia" w:ascii="宋体" w:hAnsi="宋体" w:eastAsia="宋体" w:cs="宋体"/>
          <w:position w:val="1"/>
          <w:sz w:val="32"/>
          <w:szCs w:val="32"/>
        </w:rPr>
        <w:t>支总计各</w:t>
      </w:r>
      <w:r>
        <w:rPr>
          <w:rFonts w:hint="eastAsia" w:ascii="宋体" w:hAnsi="宋体" w:cs="宋体"/>
          <w:position w:val="1"/>
          <w:sz w:val="32"/>
          <w:szCs w:val="32"/>
          <w:lang w:eastAsia="zh-CN"/>
        </w:rPr>
        <w:t>增加</w:t>
      </w:r>
      <w:r>
        <w:rPr>
          <w:rFonts w:hint="eastAsia" w:ascii="宋体" w:hAnsi="宋体" w:cs="宋体"/>
          <w:position w:val="1"/>
          <w:sz w:val="32"/>
          <w:szCs w:val="32"/>
          <w:lang w:val="en-US" w:eastAsia="zh-CN"/>
        </w:rPr>
        <w:t>2.28</w:t>
      </w:r>
      <w:r>
        <w:rPr>
          <w:rFonts w:hint="eastAsia" w:ascii="宋体" w:hAnsi="宋体" w:eastAsia="宋体" w:cs="宋体"/>
          <w:position w:val="1"/>
          <w:sz w:val="32"/>
          <w:szCs w:val="32"/>
        </w:rPr>
        <w:t>万元</w:t>
      </w:r>
      <w:r>
        <w:rPr>
          <w:rFonts w:hint="eastAsia" w:ascii="宋体" w:hAnsi="宋体" w:eastAsia="宋体" w:cs="宋体"/>
          <w:spacing w:val="-24"/>
          <w:position w:val="1"/>
          <w:sz w:val="32"/>
          <w:szCs w:val="32"/>
        </w:rPr>
        <w:t>，</w:t>
      </w:r>
      <w:r>
        <w:rPr>
          <w:rFonts w:hint="eastAsia" w:ascii="宋体" w:hAnsi="宋体" w:cs="宋体"/>
          <w:spacing w:val="-24"/>
          <w:position w:val="1"/>
          <w:sz w:val="32"/>
          <w:szCs w:val="32"/>
          <w:lang w:eastAsia="zh-CN"/>
        </w:rPr>
        <w:t>增长</w:t>
      </w:r>
      <w:r>
        <w:rPr>
          <w:rFonts w:hint="eastAsia" w:ascii="宋体" w:hAnsi="宋体" w:cs="宋体"/>
          <w:spacing w:val="-24"/>
          <w:position w:val="1"/>
          <w:sz w:val="32"/>
          <w:szCs w:val="32"/>
          <w:lang w:val="en-US" w:eastAsia="zh-CN"/>
        </w:rPr>
        <w:t xml:space="preserve">45.6 </w:t>
      </w:r>
      <w:r>
        <w:rPr>
          <w:rFonts w:hint="eastAsia" w:ascii="宋体" w:hAnsi="宋体" w:eastAsia="宋体" w:cs="宋体"/>
          <w:sz w:val="32"/>
          <w:szCs w:val="32"/>
        </w:rPr>
        <w:drawing>
          <wp:inline distT="0" distB="0" distL="114300" distR="114300">
            <wp:extent cx="85725" cy="161925"/>
            <wp:effectExtent l="0" t="0" r="9525" b="9525"/>
            <wp:docPr id="4" name="图片 1" descr="C:\Users\ADMINI~1\AppData\Local\Temp\ksohtml106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ksohtml1060\wps1.jpg"/>
                    <pic:cNvPicPr>
                      <a:picLocks noChangeAspect="1"/>
                    </pic:cNvPicPr>
                  </pic:nvPicPr>
                  <pic:blipFill>
                    <a:blip r:embed="rId6"/>
                    <a:stretch>
                      <a:fillRect/>
                    </a:stretch>
                  </pic:blipFill>
                  <pic:spPr>
                    <a:xfrm>
                      <a:off x="0" y="0"/>
                      <a:ext cx="85725" cy="161925"/>
                    </a:xfrm>
                    <a:prstGeom prst="rect">
                      <a:avLst/>
                    </a:prstGeom>
                    <a:noFill/>
                    <a:ln>
                      <a:noFill/>
                    </a:ln>
                  </pic:spPr>
                </pic:pic>
              </a:graphicData>
            </a:graphic>
          </wp:inline>
        </w:drawing>
      </w:r>
      <w:r>
        <w:rPr>
          <w:rFonts w:hint="eastAsia" w:ascii="宋体" w:hAnsi="宋体" w:eastAsia="宋体" w:cs="宋体"/>
          <w:spacing w:val="-24"/>
          <w:position w:val="1"/>
          <w:sz w:val="32"/>
          <w:szCs w:val="32"/>
        </w:rPr>
        <w:t>。</w:t>
      </w:r>
      <w:r>
        <w:rPr>
          <w:rFonts w:hint="eastAsia" w:ascii="宋体" w:hAnsi="宋体" w:eastAsia="宋体" w:cs="宋体"/>
          <w:sz w:val="32"/>
          <w:szCs w:val="32"/>
        </w:rPr>
        <w:t>增加的主要原因是</w:t>
      </w:r>
      <w:r>
        <w:rPr>
          <w:rFonts w:hint="eastAsia" w:ascii="宋体" w:hAnsi="宋体" w:eastAsia="宋体" w:cs="宋体"/>
          <w:spacing w:val="-5"/>
          <w:sz w:val="32"/>
          <w:szCs w:val="32"/>
        </w:rPr>
        <w:t>：</w:t>
      </w:r>
      <w:r>
        <w:rPr>
          <w:rFonts w:hint="eastAsia" w:ascii="宋体" w:hAnsi="宋体" w:eastAsia="宋体" w:cs="宋体"/>
          <w:sz w:val="32"/>
          <w:szCs w:val="32"/>
        </w:rPr>
        <w:t>机构改革，工作任务</w:t>
      </w:r>
      <w:r>
        <w:rPr>
          <w:rFonts w:hint="eastAsia" w:ascii="宋体" w:hAnsi="宋体" w:cs="宋体"/>
          <w:sz w:val="32"/>
          <w:szCs w:val="32"/>
          <w:lang w:eastAsia="zh-CN"/>
        </w:rPr>
        <w:t>增加</w:t>
      </w:r>
      <w:bookmarkStart w:id="0" w:name="_GoBack"/>
      <w:bookmarkEnd w:id="0"/>
      <w:r>
        <w:rPr>
          <w:rFonts w:hint="eastAsia" w:ascii="宋体" w:hAnsi="宋体" w:eastAsia="宋体" w:cs="宋体"/>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rPr>
        <w:t>2018年度政府采购支出总额</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2018年期末，我部门共有车辆0辆，单位价值50万元以上通用设备0台（套），单位价值100万元以上专用设备0台（套）。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3DC2804"/>
    <w:rsid w:val="04FB76F7"/>
    <w:rsid w:val="15905ECD"/>
    <w:rsid w:val="168948BF"/>
    <w:rsid w:val="1C2F2CE0"/>
    <w:rsid w:val="1C5C5DAD"/>
    <w:rsid w:val="1F2729EF"/>
    <w:rsid w:val="1F811484"/>
    <w:rsid w:val="22A31D76"/>
    <w:rsid w:val="26FB3DD6"/>
    <w:rsid w:val="2E642840"/>
    <w:rsid w:val="2E7E72B8"/>
    <w:rsid w:val="2F124E7D"/>
    <w:rsid w:val="31E11D12"/>
    <w:rsid w:val="31EE2784"/>
    <w:rsid w:val="33C7781A"/>
    <w:rsid w:val="387927B5"/>
    <w:rsid w:val="3AEE5F05"/>
    <w:rsid w:val="3E396404"/>
    <w:rsid w:val="3E8A5D1C"/>
    <w:rsid w:val="3ECC5C74"/>
    <w:rsid w:val="45C85B23"/>
    <w:rsid w:val="462E55FD"/>
    <w:rsid w:val="4D3D47C6"/>
    <w:rsid w:val="4F702056"/>
    <w:rsid w:val="50C8334B"/>
    <w:rsid w:val="536A1A37"/>
    <w:rsid w:val="56E244BA"/>
    <w:rsid w:val="5BBF33CD"/>
    <w:rsid w:val="5D914E11"/>
    <w:rsid w:val="5E962EC4"/>
    <w:rsid w:val="5F152507"/>
    <w:rsid w:val="606D3F2E"/>
    <w:rsid w:val="66132327"/>
    <w:rsid w:val="6B227233"/>
    <w:rsid w:val="6E2D0B6D"/>
    <w:rsid w:val="6F640286"/>
    <w:rsid w:val="71C52037"/>
    <w:rsid w:val="72567CE5"/>
    <w:rsid w:val="747475CC"/>
    <w:rsid w:val="75265254"/>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3</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2020-12-15T08:52:05Z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