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濮阳县文学艺术界联合会</w:t>
      </w:r>
      <w:r>
        <w:rPr>
          <w:rFonts w:hint="eastAsia" w:ascii="黑体" w:hAnsi="黑体" w:eastAsia="黑体" w:cs="黑体"/>
          <w:color w:val="auto"/>
          <w:sz w:val="52"/>
          <w:szCs w:val="52"/>
          <w:highlight w:val="none"/>
        </w:rPr>
        <w:t>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濮阳县文学艺术界联合会</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cs="宋体"/>
          <w:color w:val="auto"/>
          <w:sz w:val="32"/>
          <w:szCs w:val="32"/>
          <w:highlight w:val="none"/>
          <w:lang w:eastAsia="zh-CN"/>
        </w:rPr>
        <w:t>主要职能</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4"/>
          <w:szCs w:val="24"/>
          <w:highlight w:val="none"/>
          <w:lang w:val="en-US" w:eastAsia="zh-CN"/>
        </w:rPr>
      </w:pPr>
      <w:r>
        <w:rPr>
          <w:rFonts w:hint="eastAsia" w:ascii="黑体" w:hAnsi="黑体" w:eastAsia="黑体" w:cs="黑体"/>
          <w:color w:val="auto"/>
          <w:sz w:val="44"/>
          <w:szCs w:val="44"/>
          <w:highlight w:val="none"/>
        </w:rPr>
        <w:t>第一部分</w:t>
      </w:r>
      <w:r>
        <w:rPr>
          <w:rFonts w:hint="eastAsia" w:ascii="黑体" w:hAnsi="黑体" w:eastAsia="黑体" w:cs="黑体"/>
          <w:color w:val="auto"/>
          <w:sz w:val="44"/>
          <w:szCs w:val="44"/>
          <w:highlight w:val="none"/>
          <w:lang w:val="en-US" w:eastAsia="zh-CN"/>
        </w:rPr>
        <w:t xml:space="preserve">  濮阳县文学艺术界联合会</w:t>
      </w:r>
      <w:r>
        <w:rPr>
          <w:rFonts w:hint="eastAsia" w:ascii="黑体" w:hAnsi="黑体" w:eastAsia="黑体" w:cs="黑体"/>
          <w:color w:val="auto"/>
          <w:sz w:val="44"/>
          <w:szCs w:val="44"/>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一、主要职能</w:t>
      </w:r>
    </w:p>
    <w:p>
      <w:pPr>
        <w:numPr>
          <w:ilvl w:val="0"/>
          <w:numId w:val="0"/>
        </w:numPr>
        <w:snapToGrid w:val="0"/>
        <w:spacing w:line="520" w:lineRule="exact"/>
        <w:ind w:firstLine="640" w:firstLineChars="200"/>
        <w:rPr>
          <w:rFonts w:hint="eastAsia" w:ascii="仿宋_GB2312" w:eastAsia="仿宋_GB2312" w:cs="Times New Roman"/>
          <w:sz w:val="32"/>
          <w:szCs w:val="32"/>
        </w:rPr>
      </w:pPr>
      <w:r>
        <w:rPr>
          <w:rFonts w:hint="eastAsia" w:ascii="仿宋_GB2312" w:eastAsia="仿宋_GB2312"/>
          <w:sz w:val="32"/>
          <w:szCs w:val="32"/>
        </w:rPr>
        <w:t>濮阳县文联，全称是濮阳县文学艺术界联合会，是县委领导下的全县文学艺术界的联合组织和全县性人民团体，主要任务是作为党和政府联系文艺界的桥梁和纽带贯彻党的文艺方针和政策，组织文艺创作、学术交流、理论研究、人才培养，开展各种文艺活动，繁荣我县社会主义文艺事业，指导、联络、协调、服务各文艺协会开展工作</w:t>
      </w:r>
      <w:r>
        <w:rPr>
          <w:rFonts w:hint="eastAsia" w:ascii="仿宋_GB2312" w:eastAsia="仿宋_GB2312" w:cs="Times New Roman"/>
          <w:sz w:val="32"/>
          <w:szCs w:val="32"/>
        </w:rPr>
        <w:t>。</w:t>
      </w:r>
      <w:r>
        <w:rPr>
          <w:rFonts w:hint="eastAsia" w:ascii="仿宋_GB2312" w:eastAsia="仿宋_GB2312" w:cs="Times New Roman"/>
          <w:sz w:val="32"/>
          <w:szCs w:val="32"/>
          <w:lang w:val="en-US" w:eastAsia="zh-CN"/>
        </w:rPr>
        <w:t>完成县委、县政府交办扶贫等其他工作。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numPr>
          <w:ilvl w:val="0"/>
          <w:numId w:val="0"/>
        </w:numPr>
        <w:snapToGrid w:val="0"/>
        <w:spacing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（一）单位基本情况：濮阳县文联，全称是濮阳县文学艺术界联合会，现有工作人员</w:t>
      </w: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人，其中主席1人，主任科员1人、副主席1人，没有内设股室，只有一个综合办公室。</w:t>
      </w:r>
    </w:p>
    <w:p>
      <w:pPr>
        <w:numPr>
          <w:ilvl w:val="0"/>
          <w:numId w:val="0"/>
        </w:numPr>
        <w:snapToGrid w:val="0"/>
        <w:spacing w:line="52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（二）部门决算单位构成：纳入濮阳县文学艺术界联合会 201</w:t>
      </w: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年度部门决算编制范围的单位包括：濮阳县</w:t>
      </w:r>
      <w:r>
        <w:rPr>
          <w:rFonts w:hint="eastAsia" w:ascii="仿宋_GB2312" w:eastAsia="仿宋_GB2312" w:cs="Times New Roman"/>
          <w:sz w:val="32"/>
          <w:szCs w:val="32"/>
          <w:lang w:eastAsia="zh-CN"/>
        </w:rPr>
        <w:t>文学艺术界联合会</w:t>
      </w:r>
      <w:r>
        <w:rPr>
          <w:rFonts w:hint="eastAsia" w:ascii="仿宋_GB2312" w:eastAsia="仿宋_GB2312" w:cs="Times New Roman"/>
          <w:sz w:val="32"/>
          <w:szCs w:val="32"/>
        </w:rPr>
        <w:t>本级，我单位没有下属二级预算单位，本级决算即汇总决算。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6"/>
        <w:tblW w:w="15300" w:type="dxa"/>
        <w:tblInd w:w="0" w:type="dxa"/>
        <w:shd w:val="clear" w:color="auto" w:fill="auto"/>
        <w:tblLayout w:type="autofit"/>
        <w:tblCellMar>
          <w:top w:w="0" w:type="dxa"/>
          <w:left w:w="0" w:type="dxa"/>
          <w:bottom w:w="0" w:type="dxa"/>
          <w:right w:w="0" w:type="dxa"/>
        </w:tblCellMar>
      </w:tblPr>
      <w:tblGrid>
        <w:gridCol w:w="5816"/>
        <w:gridCol w:w="821"/>
        <w:gridCol w:w="1013"/>
        <w:gridCol w:w="5816"/>
        <w:gridCol w:w="821"/>
        <w:gridCol w:w="1013"/>
      </w:tblGrid>
      <w:tr>
        <w:tblPrEx>
          <w:shd w:val="clear" w:color="auto" w:fill="auto"/>
          <w:tblCellMar>
            <w:top w:w="0" w:type="dxa"/>
            <w:left w:w="0" w:type="dxa"/>
            <w:bottom w:w="0" w:type="dxa"/>
            <w:right w:w="0" w:type="dxa"/>
          </w:tblCellMar>
        </w:tblPrEx>
        <w:trPr>
          <w:trHeight w:val="597" w:hRule="atLeast"/>
        </w:trPr>
        <w:tc>
          <w:tcPr>
            <w:tcW w:w="15300" w:type="dxa"/>
            <w:gridSpan w:val="6"/>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306" w:hRule="atLeast"/>
        </w:trPr>
        <w:tc>
          <w:tcPr>
            <w:tcW w:w="15300" w:type="dxa"/>
            <w:gridSpan w:val="6"/>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306" w:hRule="atLeast"/>
        </w:trPr>
        <w:tc>
          <w:tcPr>
            <w:tcW w:w="15300" w:type="dxa"/>
            <w:gridSpan w:val="6"/>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部门：濮阳县文学艺术界联合会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15"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5"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r>
      <w:tr>
        <w:tblPrEx>
          <w:tblCellMar>
            <w:top w:w="0" w:type="dxa"/>
            <w:left w:w="0" w:type="dxa"/>
            <w:bottom w:w="0" w:type="dxa"/>
            <w:right w:w="0" w:type="dxa"/>
          </w:tblCellMar>
        </w:tblPrEx>
        <w:trPr>
          <w:trHeight w:val="315" w:hRule="atLeast"/>
        </w:trPr>
        <w:tc>
          <w:tcPr>
            <w:tcW w:w="0" w:type="auto"/>
            <w:gridSpan w:val="6"/>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autofit"/>
        <w:tblCellMar>
          <w:top w:w="0" w:type="dxa"/>
          <w:left w:w="0" w:type="dxa"/>
          <w:bottom w:w="0" w:type="dxa"/>
          <w:right w:w="0" w:type="dxa"/>
        </w:tblCellMar>
      </w:tblPr>
      <w:tblGrid>
        <w:gridCol w:w="2902"/>
        <w:gridCol w:w="3770"/>
        <w:gridCol w:w="1347"/>
        <w:gridCol w:w="1317"/>
        <w:gridCol w:w="1191"/>
        <w:gridCol w:w="1102"/>
        <w:gridCol w:w="1112"/>
        <w:gridCol w:w="1257"/>
        <w:gridCol w:w="1430"/>
      </w:tblGrid>
      <w:tr>
        <w:tblPrEx>
          <w:shd w:val="clear" w:color="auto" w:fill="auto"/>
          <w:tblCellMar>
            <w:top w:w="0" w:type="dxa"/>
            <w:left w:w="0" w:type="dxa"/>
            <w:bottom w:w="0" w:type="dxa"/>
            <w:right w:w="0" w:type="dxa"/>
          </w:tblCellMar>
        </w:tblPrEx>
        <w:trPr>
          <w:trHeight w:val="390" w:hRule="atLeast"/>
        </w:trPr>
        <w:tc>
          <w:tcPr>
            <w:tcW w:w="15428" w:type="dxa"/>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15428" w:type="dxa"/>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15428" w:type="dxa"/>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部门：濮阳县文学艺术界联合会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4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31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19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10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11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25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3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290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4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0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90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1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3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4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1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0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5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3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文化和旅游交流与合作</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tbl>
      <w:tblPr>
        <w:tblStyle w:val="6"/>
        <w:tblW w:w="15428" w:type="dxa"/>
        <w:tblInd w:w="0" w:type="dxa"/>
        <w:shd w:val="clear" w:color="auto" w:fill="auto"/>
        <w:tblLayout w:type="autofit"/>
        <w:tblCellMar>
          <w:top w:w="0" w:type="dxa"/>
          <w:left w:w="0" w:type="dxa"/>
          <w:bottom w:w="0" w:type="dxa"/>
          <w:right w:w="0" w:type="dxa"/>
        </w:tblCellMar>
      </w:tblPr>
      <w:tblGrid>
        <w:gridCol w:w="3068"/>
        <w:gridCol w:w="5251"/>
        <w:gridCol w:w="1215"/>
        <w:gridCol w:w="1135"/>
        <w:gridCol w:w="992"/>
        <w:gridCol w:w="1035"/>
        <w:gridCol w:w="985"/>
        <w:gridCol w:w="1747"/>
      </w:tblGrid>
      <w:tr>
        <w:tblPrEx>
          <w:shd w:val="clear" w:color="auto" w:fill="auto"/>
          <w:tblCellMar>
            <w:top w:w="0" w:type="dxa"/>
            <w:left w:w="0" w:type="dxa"/>
            <w:bottom w:w="0" w:type="dxa"/>
            <w:right w:w="0" w:type="dxa"/>
          </w:tblCellMar>
        </w:tblPrEx>
        <w:trPr>
          <w:trHeight w:val="390" w:hRule="atLeast"/>
        </w:trPr>
        <w:tc>
          <w:tcPr>
            <w:tcW w:w="15428"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15428"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15428"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部门：濮阳县文学艺术界联合会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59"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044"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1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360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5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60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60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9"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59"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44"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12"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36"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文化和旅游交流与合作</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790" w:type="dxa"/>
        <w:tblInd w:w="0" w:type="dxa"/>
        <w:shd w:val="clear" w:color="auto" w:fill="auto"/>
        <w:tblLayout w:type="autofit"/>
        <w:tblCellMar>
          <w:top w:w="0" w:type="dxa"/>
          <w:left w:w="0" w:type="dxa"/>
          <w:bottom w:w="0" w:type="dxa"/>
          <w:right w:w="0" w:type="dxa"/>
        </w:tblCellMar>
      </w:tblPr>
      <w:tblGrid>
        <w:gridCol w:w="4362"/>
        <w:gridCol w:w="446"/>
        <w:gridCol w:w="1119"/>
        <w:gridCol w:w="5001"/>
        <w:gridCol w:w="446"/>
        <w:gridCol w:w="727"/>
        <w:gridCol w:w="1119"/>
        <w:gridCol w:w="1570"/>
      </w:tblGrid>
      <w:tr>
        <w:tblPrEx>
          <w:shd w:val="clear" w:color="auto" w:fill="auto"/>
          <w:tblCellMar>
            <w:top w:w="0" w:type="dxa"/>
            <w:left w:w="0" w:type="dxa"/>
            <w:bottom w:w="0" w:type="dxa"/>
            <w:right w:w="0" w:type="dxa"/>
          </w:tblCellMar>
        </w:tblPrEx>
        <w:trPr>
          <w:trHeight w:val="390" w:hRule="atLeast"/>
        </w:trPr>
        <w:tc>
          <w:tcPr>
            <w:tcW w:w="14790"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14790"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14790"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部门：濮阳县文学艺术界联合会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407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0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465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0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03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07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4790" w:type="dxa"/>
            <w:gridSpan w:val="8"/>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170" w:type="dxa"/>
        <w:tblInd w:w="0" w:type="dxa"/>
        <w:shd w:val="clear" w:color="auto" w:fill="auto"/>
        <w:tblLayout w:type="autofit"/>
        <w:tblCellMar>
          <w:top w:w="0" w:type="dxa"/>
          <w:left w:w="0" w:type="dxa"/>
          <w:bottom w:w="0" w:type="dxa"/>
          <w:right w:w="0" w:type="dxa"/>
        </w:tblCellMar>
      </w:tblPr>
      <w:tblGrid>
        <w:gridCol w:w="3368"/>
        <w:gridCol w:w="5550"/>
        <w:gridCol w:w="1559"/>
        <w:gridCol w:w="1559"/>
        <w:gridCol w:w="2134"/>
      </w:tblGrid>
      <w:tr>
        <w:tblPrEx>
          <w:shd w:val="clear" w:color="auto" w:fill="auto"/>
          <w:tblCellMar>
            <w:top w:w="0" w:type="dxa"/>
            <w:left w:w="0" w:type="dxa"/>
            <w:bottom w:w="0" w:type="dxa"/>
            <w:right w:w="0" w:type="dxa"/>
          </w:tblCellMar>
        </w:tblPrEx>
        <w:trPr>
          <w:trHeight w:val="390" w:hRule="atLeast"/>
        </w:trPr>
        <w:tc>
          <w:tcPr>
            <w:tcW w:w="14170"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14170"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14170"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部门：濮阳县文学艺术界联合会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8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77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33"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33"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23"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77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23"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77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3"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23"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2070110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文化和旅游交流与合作</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5"/>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320" w:type="dxa"/>
        <w:tblInd w:w="0" w:type="dxa"/>
        <w:shd w:val="clear" w:color="auto" w:fill="auto"/>
        <w:tblLayout w:type="fixed"/>
        <w:tblCellMar>
          <w:top w:w="0" w:type="dxa"/>
          <w:left w:w="0" w:type="dxa"/>
          <w:bottom w:w="0" w:type="dxa"/>
          <w:right w:w="0" w:type="dxa"/>
        </w:tblCellMar>
      </w:tblPr>
      <w:tblGrid>
        <w:gridCol w:w="1232"/>
        <w:gridCol w:w="3580"/>
        <w:gridCol w:w="1806"/>
        <w:gridCol w:w="580"/>
        <w:gridCol w:w="2227"/>
        <w:gridCol w:w="580"/>
        <w:gridCol w:w="580"/>
        <w:gridCol w:w="3028"/>
        <w:gridCol w:w="1707"/>
      </w:tblGrid>
      <w:tr>
        <w:tblPrEx>
          <w:shd w:val="clear" w:color="auto" w:fill="auto"/>
          <w:tblCellMar>
            <w:top w:w="0" w:type="dxa"/>
            <w:left w:w="0" w:type="dxa"/>
            <w:bottom w:w="0" w:type="dxa"/>
            <w:right w:w="0" w:type="dxa"/>
          </w:tblCellMar>
        </w:tblPrEx>
        <w:trPr>
          <w:trHeight w:val="390" w:hRule="atLeast"/>
        </w:trPr>
        <w:tc>
          <w:tcPr>
            <w:tcW w:w="15320" w:type="dxa"/>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15320" w:type="dxa"/>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15320" w:type="dxa"/>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部门：濮阳县文学艺术界联合会</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6618" w:type="dxa"/>
            <w:gridSpan w:val="3"/>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8702" w:type="dxa"/>
            <w:gridSpan w:val="6"/>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6"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2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028"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0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6"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2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58.34</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43.02</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32"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2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028"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812" w:type="dxa"/>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806"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58.34</w:t>
            </w:r>
          </w:p>
        </w:tc>
        <w:tc>
          <w:tcPr>
            <w:tcW w:w="6995" w:type="dxa"/>
            <w:gridSpan w:val="5"/>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7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30.66</w:t>
            </w:r>
          </w:p>
        </w:tc>
      </w:tr>
      <w:tr>
        <w:tblPrEx>
          <w:tblCellMar>
            <w:top w:w="0" w:type="dxa"/>
            <w:left w:w="0" w:type="dxa"/>
            <w:bottom w:w="0" w:type="dxa"/>
            <w:right w:w="0" w:type="dxa"/>
          </w:tblCellMar>
        </w:tblPrEx>
        <w:trPr>
          <w:trHeight w:val="308" w:hRule="atLeast"/>
        </w:trPr>
        <w:tc>
          <w:tcPr>
            <w:tcW w:w="15320" w:type="dxa"/>
            <w:gridSpan w:val="9"/>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332" w:type="dxa"/>
        <w:tblInd w:w="0" w:type="dxa"/>
        <w:shd w:val="clear" w:color="auto" w:fill="auto"/>
        <w:tblLayout w:type="autofit"/>
        <w:tblCellMar>
          <w:top w:w="0" w:type="dxa"/>
          <w:left w:w="0" w:type="dxa"/>
          <w:bottom w:w="0" w:type="dxa"/>
          <w:right w:w="0" w:type="dxa"/>
        </w:tblCellMar>
      </w:tblPr>
      <w:tblGrid>
        <w:gridCol w:w="1020"/>
        <w:gridCol w:w="1155"/>
        <w:gridCol w:w="1407"/>
        <w:gridCol w:w="1407"/>
        <w:gridCol w:w="1407"/>
        <w:gridCol w:w="1407"/>
        <w:gridCol w:w="810"/>
        <w:gridCol w:w="1410"/>
        <w:gridCol w:w="1065"/>
        <w:gridCol w:w="1407"/>
        <w:gridCol w:w="1407"/>
        <w:gridCol w:w="1430"/>
      </w:tblGrid>
      <w:tr>
        <w:tblPrEx>
          <w:shd w:val="clear" w:color="auto" w:fill="auto"/>
          <w:tblCellMar>
            <w:top w:w="0" w:type="dxa"/>
            <w:left w:w="0" w:type="dxa"/>
            <w:bottom w:w="0" w:type="dxa"/>
            <w:right w:w="0" w:type="dxa"/>
          </w:tblCellMar>
        </w:tblPrEx>
        <w:trPr>
          <w:trHeight w:val="540" w:hRule="atLeast"/>
        </w:trPr>
        <w:tc>
          <w:tcPr>
            <w:tcW w:w="15332" w:type="dxa"/>
            <w:gridSpan w:val="1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gridSpan w:val="1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gridSpan w:val="11"/>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部门：濮阳县文学艺术界联合会</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7803" w:type="dxa"/>
            <w:gridSpan w:val="6"/>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29" w:type="dxa"/>
            <w:gridSpan w:val="6"/>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02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221"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0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8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1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79"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02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07"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02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5"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1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65"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1407" w:type="dxa"/>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i w:val="0"/>
                <w:color w:val="000000"/>
                <w:sz w:val="22"/>
                <w:szCs w:val="22"/>
                <w:u w:val="none"/>
                <w:lang w:val="en-US" w:eastAsia="zh-CN"/>
              </w:rPr>
              <w:t>0.00</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default" w:ascii="宋体" w:hAnsi="宋体" w:eastAsia="宋体" w:cs="宋体"/>
                <w:i w:val="0"/>
                <w:color w:val="000000"/>
                <w:kern w:val="2"/>
                <w:sz w:val="22"/>
                <w:szCs w:val="22"/>
                <w:u w:val="none"/>
                <w:lang w:val="en-US" w:eastAsia="zh-CN" w:bidi="ar-SA"/>
              </w:rPr>
            </w:pPr>
            <w:r>
              <w:rPr>
                <w:rFonts w:hint="eastAsia" w:ascii="宋体" w:hAnsi="宋体" w:cs="宋体"/>
                <w:i w:val="0"/>
                <w:color w:val="000000"/>
                <w:kern w:val="2"/>
                <w:sz w:val="22"/>
                <w:szCs w:val="22"/>
                <w:u w:val="none"/>
                <w:lang w:val="en-US" w:eastAsia="zh-CN" w:bidi="ar-SA"/>
              </w:rPr>
              <w:t>0.00</w:t>
            </w:r>
          </w:p>
        </w:tc>
      </w:tr>
      <w:tr>
        <w:tblPrEx>
          <w:tblCellMar>
            <w:top w:w="0" w:type="dxa"/>
            <w:left w:w="0" w:type="dxa"/>
            <w:bottom w:w="0" w:type="dxa"/>
            <w:right w:w="0" w:type="dxa"/>
          </w:tblCellMar>
        </w:tblPrEx>
        <w:trPr>
          <w:trHeight w:val="615" w:hRule="atLeast"/>
        </w:trPr>
        <w:tc>
          <w:tcPr>
            <w:tcW w:w="15332" w:type="dxa"/>
            <w:gridSpan w:val="1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both"/>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000" w:type="dxa"/>
        <w:tblInd w:w="0" w:type="dxa"/>
        <w:shd w:val="clear" w:color="auto" w:fill="auto"/>
        <w:tblLayout w:type="autofit"/>
        <w:tblCellMar>
          <w:top w:w="0" w:type="dxa"/>
          <w:left w:w="0" w:type="dxa"/>
          <w:bottom w:w="0" w:type="dxa"/>
          <w:right w:w="0" w:type="dxa"/>
        </w:tblCellMar>
      </w:tblPr>
      <w:tblGrid>
        <w:gridCol w:w="1176"/>
        <w:gridCol w:w="1726"/>
        <w:gridCol w:w="1830"/>
        <w:gridCol w:w="1830"/>
        <w:gridCol w:w="1830"/>
        <w:gridCol w:w="1830"/>
        <w:gridCol w:w="1830"/>
        <w:gridCol w:w="2948"/>
      </w:tblGrid>
      <w:tr>
        <w:tblPrEx>
          <w:shd w:val="clear" w:color="auto" w:fill="auto"/>
          <w:tblCellMar>
            <w:top w:w="0" w:type="dxa"/>
            <w:left w:w="0" w:type="dxa"/>
            <w:bottom w:w="0" w:type="dxa"/>
            <w:right w:w="0" w:type="dxa"/>
          </w:tblCellMar>
        </w:tblPrEx>
        <w:trPr>
          <w:trHeight w:val="390" w:hRule="atLeast"/>
        </w:trPr>
        <w:tc>
          <w:tcPr>
            <w:tcW w:w="15000" w:type="dxa"/>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gridSpan w:val="7"/>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部门：濮阳县文学艺术界联合会</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040" w:type="dxa"/>
            <w:gridSpan w:val="3"/>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8"/>
            <w:tcBorders>
              <w:top w:val="single" w:color="auto" w:sz="4" w:space="0"/>
              <w:left w:val="single" w:color="auto" w:sz="4" w:space="0"/>
              <w:bottom w:val="single" w:color="auto" w:sz="4" w:space="0"/>
              <w:right w:val="single" w:color="auto" w:sz="4" w:space="0"/>
            </w:tcBorders>
            <w:shd w:val="clear" w:color="auto" w:fill="FFFFFF" w:themeFill="background1"/>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2019年度收、支总计均为89万元。与上年度相比，收、支总计各增加8.46万元，增长11%。主要原因是人员增资，社保缴费基数增加、专项活动经费增加。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2019年度收入合计89万元，其中：财政拨款收入89万元，占100%。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2019年度支出合计89万元，其中：基本支出89万元，占100%。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2019年度财政拨款收、支总计均为89万元。与上年度相比，财政拨款收、支总计各增加8.46万元，增长11%。主要原因是人员增资。</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2019年度一般公共预算财政拨款支出89万元，占本年支出合计的100%。与上年度相比，一般公共预算财政拨款支出增加8.46万元，增长11%。主要原因是人员增资，社保缴费基数增加、专项活动经费增加。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pStyle w:val="3"/>
        <w:spacing w:before="283" w:line="343" w:lineRule="auto"/>
        <w:ind w:right="585" w:firstLine="64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2019年度一般公共预算财政拨款支出89万元，主要用于以下方面：文化交流与合作 （类）支出 81万元，占 91</w:t>
      </w:r>
      <w:r>
        <w:rPr>
          <w:rFonts w:hint="eastAsia" w:ascii="仿宋_GB2312" w:hAnsi="仿宋_GB2312" w:eastAsia="仿宋_GB2312" w:cs="仿宋_GB2312"/>
          <w:color w:val="auto"/>
          <w:sz w:val="32"/>
          <w:szCs w:val="32"/>
          <w:highlight w:val="none"/>
          <w:lang w:val="en-US" w:eastAsia="zh-CN"/>
        </w:rPr>
        <w:drawing>
          <wp:inline distT="0" distB="0" distL="114300" distR="114300">
            <wp:extent cx="85090" cy="154940"/>
            <wp:effectExtent l="0" t="0" r="10160" b="1651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_GB2312" w:hAnsi="仿宋_GB2312" w:eastAsia="仿宋_GB2312" w:cs="仿宋_GB2312"/>
          <w:color w:val="auto"/>
          <w:sz w:val="32"/>
          <w:szCs w:val="32"/>
          <w:highlight w:val="none"/>
          <w:lang w:val="en-US" w:eastAsia="zh-CN"/>
        </w:rPr>
        <w:t>；社会保障和就业（类）支出8万元，占9%。</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2019年度一般公共预算财政拨款支出年初预算为89万元，支出决算为89万元，完成年初预算的100%。其中：</w:t>
      </w:r>
    </w:p>
    <w:p>
      <w:pPr>
        <w:numPr>
          <w:ilvl w:val="0"/>
          <w:numId w:val="2"/>
        </w:numPr>
        <w:adjustRightInd w:val="0"/>
        <w:snapToGrid w:val="0"/>
        <w:spacing w:line="360" w:lineRule="auto"/>
        <w:ind w:left="0" w:firstLine="643" w:firstLineChars="200"/>
        <w:rPr>
          <w:rFonts w:hint="eastAsia" w:ascii="仿宋_GB2312" w:hAnsi="仿宋_GB2312" w:eastAsia="仿宋_GB2312" w:cs="仿宋_GB2312"/>
          <w:color w:val="auto"/>
          <w:sz w:val="32"/>
          <w:szCs w:val="32"/>
          <w:highlight w:val="none"/>
          <w:lang w:val="en-US" w:eastAsia="zh-CN"/>
        </w:rPr>
      </w:pPr>
      <w:r>
        <w:rPr>
          <w:rFonts w:hint="eastAsia" w:ascii="宋体" w:hAnsi="宋体" w:cs="宋体"/>
          <w:b/>
          <w:bCs/>
          <w:sz w:val="32"/>
          <w:szCs w:val="32"/>
        </w:rPr>
        <w:t>文化体育与传媒支出（类）文化（款）文化交流与合作 （项）。</w:t>
      </w:r>
      <w:r>
        <w:rPr>
          <w:rFonts w:hint="eastAsia" w:ascii="仿宋_GB2312" w:hAnsi="仿宋_GB2312" w:eastAsia="仿宋_GB2312" w:cs="仿宋_GB2312"/>
          <w:color w:val="auto"/>
          <w:sz w:val="32"/>
          <w:szCs w:val="32"/>
          <w:highlight w:val="none"/>
          <w:lang w:val="en-US" w:eastAsia="zh-CN"/>
        </w:rPr>
        <w:t>年初预算为81万元，支出决算为81万元，完成年初预算的100%。预算与决算无差异。</w:t>
      </w:r>
    </w:p>
    <w:p>
      <w:pPr>
        <w:numPr>
          <w:ilvl w:val="0"/>
          <w:numId w:val="2"/>
        </w:numPr>
        <w:adjustRightInd w:val="0"/>
        <w:snapToGrid w:val="0"/>
        <w:spacing w:line="360" w:lineRule="auto"/>
        <w:ind w:left="0" w:firstLine="643" w:firstLineChars="200"/>
        <w:rPr>
          <w:rFonts w:hint="eastAsia" w:ascii="仿宋_GB2312" w:hAnsi="仿宋_GB2312" w:eastAsia="仿宋_GB2312" w:cs="仿宋_GB2312"/>
          <w:color w:val="auto"/>
          <w:sz w:val="32"/>
          <w:szCs w:val="32"/>
          <w:highlight w:val="none"/>
          <w:lang w:val="en-US" w:eastAsia="zh-CN"/>
        </w:rPr>
      </w:pPr>
      <w:r>
        <w:rPr>
          <w:rFonts w:hint="eastAsia" w:ascii="宋体" w:hAnsi="宋体" w:cs="宋体"/>
          <w:b/>
          <w:bCs/>
          <w:sz w:val="32"/>
          <w:szCs w:val="32"/>
        </w:rPr>
        <w:t>社会保障和就业支出（类）行政事业单位离退休（款）机关事业单位基本养老保险缴费支出（项）。</w:t>
      </w:r>
      <w:r>
        <w:rPr>
          <w:rFonts w:hint="eastAsia" w:ascii="仿宋_GB2312" w:hAnsi="仿宋_GB2312" w:eastAsia="仿宋_GB2312" w:cs="仿宋_GB2312"/>
          <w:color w:val="auto"/>
          <w:sz w:val="32"/>
          <w:szCs w:val="32"/>
          <w:highlight w:val="none"/>
          <w:lang w:val="en-US" w:eastAsia="zh-CN"/>
        </w:rPr>
        <w:t>年初预算数为8万元，支出决算数为8万元，完成年初预算的100%。预算与决算无差异。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2019年度一般公共预算财政拨款基本支出89万元。其中：</w:t>
      </w:r>
      <w:r>
        <w:rPr>
          <w:rFonts w:hint="eastAsia" w:ascii="仿宋_GB2312" w:hAnsi="仿宋_GB2312" w:eastAsia="仿宋_GB2312" w:cs="仿宋_GB2312"/>
          <w:b w:val="0"/>
          <w:bCs w:val="0"/>
          <w:color w:val="auto"/>
          <w:sz w:val="32"/>
          <w:szCs w:val="32"/>
          <w:highlight w:val="none"/>
          <w:lang w:val="en-US" w:eastAsia="zh-CN"/>
        </w:rPr>
        <w:t>人员经费58.34万元，主要包括：基本工资、津贴补贴、绩效工资、机关事业单位基本养老保险缴费、其他社会保障缴费</w:t>
      </w:r>
      <w:r>
        <w:rPr>
          <w:rFonts w:hint="eastAsia" w:ascii="仿宋_GB2312" w:hAnsi="仿宋_GB2312" w:eastAsia="仿宋_GB2312" w:cs="仿宋_GB2312"/>
          <w:color w:val="auto"/>
          <w:sz w:val="32"/>
          <w:szCs w:val="32"/>
          <w:highlight w:val="none"/>
          <w:lang w:val="en-US" w:eastAsia="zh-CN"/>
        </w:rPr>
        <w:t>；公用经费30.66万元，主要包括：办公费、印刷费、其他交通费用。与上年度相比，一般公共预算财政拨款基本支出增加8.46万元，增长11%。主要原因是人员增资，社保缴费基数增加。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2019年度“三公”经费财政拨款支出预算为0万元，支出决算为0万元，完成预算的0%。。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2019年度“三公”经费财政拨款支出决算中，因公出国（境）费支出决算0万元，完成预算的0%；公务用车购置及运行费支出决算0万元，完成预算的0%；公务接待费支出决算0万元，完成预算的0%，占0%。</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年初预算为0万元，支出决算为0万元，完成年初预算的100%。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0万元。2019年期末，部门开支财政拨款的公务用车保有量为0辆。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根据财政预算管理要求，濮阳县信访局加强在资金使用过程中管理，对2019年度一般公共预算项目支出全面开展绩效自评。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我部门充分认识项目绩效自评的重要性，自评覆盖率达到100%，所有项目基本达到预期目标，群众满意度高。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ind w:firstLine="640" w:firstLineChars="200"/>
        <w:jc w:val="left"/>
        <w:rPr>
          <w:rFonts w:hint="eastAsia" w:ascii="仿宋" w:hAnsi="仿宋" w:eastAsia="仿宋" w:cs="仿宋"/>
          <w:color w:val="000000"/>
          <w:kern w:val="0"/>
          <w:sz w:val="31"/>
          <w:szCs w:val="31"/>
          <w:lang w:bidi="ar"/>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r>
        <w:rPr>
          <w:rFonts w:hint="eastAsia" w:ascii="楷体_GB2312" w:hAnsi="楷体_GB2312" w:eastAsia="楷体_GB2312" w:cs="楷体_GB2312"/>
          <w:b w:val="0"/>
          <w:bCs w:val="0"/>
          <w:sz w:val="32"/>
          <w:szCs w:val="32"/>
          <w:lang w:eastAsia="zh-CN"/>
        </w:rPr>
        <w:t>。</w:t>
      </w:r>
    </w:p>
    <w:p>
      <w:pPr>
        <w:widowControl/>
        <w:numPr>
          <w:ilvl w:val="0"/>
          <w:numId w:val="4"/>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2019年度政府性基金预算财政拨款支出年初预算为0万元，支出决算为0万元。我部门2019年度没有政府性基金收入，也没有使用政府性基金安排的支出。</w:t>
      </w:r>
    </w:p>
    <w:p>
      <w:pPr>
        <w:keepNext w:val="0"/>
        <w:keepLines w:val="0"/>
        <w:pageBreakBefore w:val="0"/>
        <w:widowControl/>
        <w:numPr>
          <w:ilvl w:val="0"/>
          <w:numId w:val="4"/>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机关运行经费支出情况说明</w:t>
      </w:r>
    </w:p>
    <w:p>
      <w:pPr>
        <w:keepNext w:val="0"/>
        <w:keepLines w:val="0"/>
        <w:pageBreakBefore w:val="0"/>
        <w:widowControl/>
        <w:numPr>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初预算为81万元，支出决算为81万元，完成年初预算的100%。</w:t>
      </w:r>
    </w:p>
    <w:p>
      <w:pPr>
        <w:pStyle w:val="3"/>
        <w:spacing w:line="345" w:lineRule="auto"/>
        <w:ind w:right="597" w:firstLine="640"/>
        <w:jc w:val="both"/>
        <w:rPr>
          <w:rFonts w:hint="eastAsia" w:ascii="仿宋" w:hAnsi="仿宋" w:eastAsia="仿宋" w:cs="仿宋"/>
          <w:lang w:val="en-US"/>
        </w:rPr>
      </w:pPr>
      <w:r>
        <w:rPr>
          <w:rFonts w:hint="eastAsia" w:ascii="仿宋" w:hAnsi="仿宋" w:eastAsia="仿宋" w:cs="仿宋"/>
        </w:rPr>
        <w:t>201</w:t>
      </w:r>
      <w:r>
        <w:rPr>
          <w:rFonts w:hint="eastAsia" w:ascii="仿宋" w:hAnsi="仿宋" w:eastAsia="仿宋" w:cs="仿宋"/>
          <w:lang w:val="en-US" w:eastAsia="zh-CN"/>
        </w:rPr>
        <w:t>9</w:t>
      </w:r>
      <w:r>
        <w:rPr>
          <w:rFonts w:hint="eastAsia" w:ascii="仿宋" w:hAnsi="仿宋" w:eastAsia="仿宋" w:cs="仿宋"/>
          <w:spacing w:val="-4"/>
        </w:rPr>
        <w:t>年度机关运行经费支出</w:t>
      </w:r>
      <w:r>
        <w:rPr>
          <w:rFonts w:hint="eastAsia" w:ascii="仿宋" w:hAnsi="仿宋" w:eastAsia="仿宋" w:cs="仿宋"/>
          <w:lang w:val="en-US" w:eastAsia="zh-CN"/>
        </w:rPr>
        <w:t>81</w:t>
      </w:r>
      <w:r>
        <w:rPr>
          <w:rFonts w:hint="eastAsia" w:ascii="仿宋" w:hAnsi="仿宋" w:eastAsia="仿宋" w:cs="仿宋"/>
          <w:spacing w:val="-4"/>
        </w:rPr>
        <w:t>万元，较</w:t>
      </w:r>
      <w:r>
        <w:rPr>
          <w:rFonts w:hint="eastAsia" w:ascii="仿宋" w:hAnsi="仿宋" w:eastAsia="仿宋" w:cs="仿宋"/>
        </w:rPr>
        <w:t>201</w:t>
      </w:r>
      <w:r>
        <w:rPr>
          <w:rFonts w:hint="eastAsia" w:ascii="仿宋" w:hAnsi="仿宋" w:eastAsia="仿宋" w:cs="仿宋"/>
          <w:lang w:val="en-US" w:eastAsia="zh-CN"/>
        </w:rPr>
        <w:t>8</w:t>
      </w:r>
      <w:r>
        <w:rPr>
          <w:rFonts w:hint="eastAsia" w:ascii="仿宋" w:hAnsi="仿宋" w:eastAsia="仿宋" w:cs="仿宋"/>
        </w:rPr>
        <w:t>年度增加</w:t>
      </w:r>
      <w:r>
        <w:rPr>
          <w:rFonts w:hint="eastAsia" w:ascii="仿宋" w:hAnsi="仿宋" w:eastAsia="仿宋" w:cs="仿宋"/>
          <w:lang w:val="en-US" w:eastAsia="zh-CN"/>
        </w:rPr>
        <w:t>9</w:t>
      </w:r>
      <w:r>
        <w:rPr>
          <w:rFonts w:hint="eastAsia" w:ascii="仿宋" w:hAnsi="仿宋" w:eastAsia="仿宋" w:cs="仿宋"/>
        </w:rPr>
        <w:t>万元</w:t>
      </w:r>
      <w:r>
        <w:rPr>
          <w:rFonts w:hint="eastAsia" w:ascii="仿宋" w:hAnsi="仿宋" w:eastAsia="仿宋" w:cs="仿宋"/>
          <w:spacing w:val="-5"/>
        </w:rPr>
        <w:t>，</w:t>
      </w:r>
      <w:r>
        <w:rPr>
          <w:rFonts w:hint="eastAsia" w:ascii="仿宋" w:hAnsi="仿宋" w:eastAsia="仿宋" w:cs="仿宋"/>
        </w:rPr>
        <w:t>增长</w:t>
      </w:r>
      <w:r>
        <w:rPr>
          <w:rFonts w:hint="eastAsia" w:ascii="仿宋" w:hAnsi="仿宋" w:eastAsia="仿宋" w:cs="仿宋"/>
          <w:lang w:val="en-US" w:eastAsia="zh-CN"/>
        </w:rPr>
        <w:t>12.5</w:t>
      </w:r>
      <w:r>
        <w:rPr>
          <w:rFonts w:hint="eastAsia" w:ascii="仿宋" w:hAnsi="仿宋" w:eastAsia="仿宋" w:cs="仿宋"/>
          <w:spacing w:val="8"/>
          <w:w w:val="99"/>
        </w:rPr>
        <w:drawing>
          <wp:inline distT="0" distB="0" distL="114300" distR="114300">
            <wp:extent cx="85090" cy="154940"/>
            <wp:effectExtent l="0" t="0" r="10160" b="1651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rPr>
        <w:t>。</w:t>
      </w:r>
      <w:r>
        <w:rPr>
          <w:rFonts w:hint="eastAsia" w:ascii="仿宋" w:hAnsi="仿宋" w:eastAsia="仿宋" w:cs="仿宋"/>
          <w:spacing w:val="-9"/>
        </w:rPr>
        <w:t xml:space="preserve"> </w:t>
      </w:r>
      <w:r>
        <w:rPr>
          <w:rFonts w:hint="eastAsia" w:ascii="仿宋" w:hAnsi="仿宋" w:eastAsia="仿宋" w:cs="仿宋"/>
        </w:rPr>
        <w:t>增加的主要原因是</w:t>
      </w:r>
      <w:r>
        <w:rPr>
          <w:rFonts w:hint="eastAsia" w:ascii="仿宋" w:hAnsi="仿宋" w:eastAsia="仿宋" w:cs="仿宋"/>
          <w:spacing w:val="-5"/>
        </w:rPr>
        <w:t>：</w:t>
      </w:r>
      <w:r>
        <w:rPr>
          <w:rFonts w:hint="eastAsia" w:ascii="仿宋" w:hAnsi="仿宋" w:eastAsia="仿宋" w:cs="仿宋"/>
        </w:rPr>
        <w:t>人员经费随之增长</w:t>
      </w:r>
      <w:r>
        <w:rPr>
          <w:rFonts w:hint="eastAsia" w:ascii="仿宋" w:hAnsi="仿宋" w:eastAsia="仿宋" w:cs="仿宋"/>
          <w:lang w:eastAsia="zh-CN"/>
        </w:rPr>
        <w:t>，</w:t>
      </w:r>
      <w:r>
        <w:rPr>
          <w:rFonts w:hint="eastAsia" w:ascii="仿宋" w:hAnsi="仿宋" w:eastAsia="仿宋" w:cs="仿宋"/>
        </w:rPr>
        <w:t>机关事业单位基本养老保险缴费支出</w:t>
      </w:r>
      <w:r>
        <w:rPr>
          <w:rFonts w:hint="eastAsia" w:ascii="仿宋" w:hAnsi="仿宋" w:eastAsia="仿宋" w:cs="仿宋"/>
          <w:lang w:val="en-US"/>
        </w:rPr>
        <w:t>较201</w:t>
      </w:r>
      <w:r>
        <w:rPr>
          <w:rFonts w:hint="eastAsia" w:ascii="仿宋" w:hAnsi="仿宋" w:eastAsia="仿宋" w:cs="仿宋"/>
          <w:lang w:val="en-US" w:eastAsia="zh-CN"/>
        </w:rPr>
        <w:t>8</w:t>
      </w:r>
      <w:bookmarkStart w:id="0" w:name="_GoBack"/>
      <w:bookmarkEnd w:id="0"/>
      <w:r>
        <w:rPr>
          <w:rFonts w:hint="eastAsia" w:ascii="仿宋" w:hAnsi="仿宋" w:eastAsia="仿宋" w:cs="仿宋"/>
          <w:lang w:val="en-US"/>
        </w:rPr>
        <w:t>年增长。</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2019年度政府采购支出总额0万元，其中：政府采购货物支出0万元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pStyle w:val="3"/>
        <w:spacing w:before="226" w:line="345" w:lineRule="auto"/>
        <w:ind w:right="273" w:firstLine="960" w:firstLineChars="3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一、财政拨款收入：单位从同级政府财政部门取得的各类财政拨款。</w:t>
      </w:r>
    </w:p>
    <w:p>
      <w:pPr>
        <w:pStyle w:val="3"/>
        <w:spacing w:line="343" w:lineRule="auto"/>
        <w:ind w:right="275"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二、事业收入：事业单位开展专业业务活动及其辅助活动取得的收入。</w:t>
      </w:r>
    </w:p>
    <w:p>
      <w:pPr>
        <w:pStyle w:val="3"/>
        <w:spacing w:before="6" w:line="345" w:lineRule="auto"/>
        <w:ind w:right="273"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三、上级补助收入：事业单位从主管部门和上级单位取得的非财政补助收入。</w:t>
      </w:r>
    </w:p>
    <w:p>
      <w:pPr>
        <w:pStyle w:val="3"/>
        <w:spacing w:line="345" w:lineRule="auto"/>
        <w:ind w:right="271"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四、附属单位上缴收入：事业单位取得附属独立核算单位根据有关规定上缴的收入。</w:t>
      </w:r>
    </w:p>
    <w:p>
      <w:pPr>
        <w:pStyle w:val="3"/>
        <w:spacing w:line="343" w:lineRule="auto"/>
        <w:ind w:right="275"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五、经营收入：事业单位在专业业务活动及其辅助活动之外开展非独立核算经营活动取得的收入。</w:t>
      </w:r>
    </w:p>
    <w:p>
      <w:pPr>
        <w:pStyle w:val="3"/>
        <w:spacing w:before="6" w:line="345" w:lineRule="auto"/>
        <w:ind w:right="114"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六、其他收入：单位取得的除“财政拨款收入”、“事业收入”、“上级补助收入”、“附属单位上缴收入”、“经营收入” 等以外的收入。</w:t>
      </w:r>
    </w:p>
    <w:p>
      <w:pPr>
        <w:pStyle w:val="3"/>
        <w:spacing w:line="345" w:lineRule="auto"/>
        <w:ind w:right="271" w:firstLine="638"/>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pStyle w:val="3"/>
        <w:spacing w:line="345" w:lineRule="auto"/>
        <w:ind w:right="271"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八、基本支出：为保障机构正常运转、完成日常工作任务而发生的人员支出和公用支出。</w:t>
      </w:r>
    </w:p>
    <w:p>
      <w:pPr>
        <w:pStyle w:val="3"/>
        <w:spacing w:line="345" w:lineRule="auto"/>
        <w:ind w:right="275"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九、项目支出：基本支出之外为完成特定行政任务和事业发展目标所发生的支出。</w:t>
      </w:r>
    </w:p>
    <w:p>
      <w:pPr>
        <w:pStyle w:val="3"/>
        <w:spacing w:line="345" w:lineRule="auto"/>
        <w:ind w:right="275" w:firstLine="638"/>
        <w:rPr>
          <w:rFonts w:hint="eastAsia" w:ascii="仿宋_GB2312" w:hAnsi="仿宋_GB2312" w:eastAsia="仿宋_GB2312" w:cs="仿宋_GB2312"/>
          <w:b w:val="0"/>
          <w:bCs w:val="0"/>
          <w:color w:val="auto"/>
          <w:kern w:val="2"/>
          <w:sz w:val="32"/>
          <w:szCs w:val="32"/>
          <w:highlight w:val="none"/>
          <w:lang w:val="en-US" w:eastAsia="zh-CN" w:bidi="ar-SA"/>
        </w:rPr>
      </w:pPr>
    </w:p>
    <w:p>
      <w:pPr>
        <w:pStyle w:val="3"/>
        <w:spacing w:line="345" w:lineRule="auto"/>
        <w:ind w:right="275" w:firstLine="638"/>
        <w:rPr>
          <w:rFonts w:hint="eastAsia" w:ascii="仿宋_GB2312" w:hAnsi="仿宋_GB2312" w:eastAsia="仿宋_GB2312" w:cs="仿宋_GB2312"/>
          <w:b w:val="0"/>
          <w:bCs w:val="0"/>
          <w:color w:val="auto"/>
          <w:kern w:val="2"/>
          <w:sz w:val="32"/>
          <w:szCs w:val="32"/>
          <w:highlight w:val="none"/>
          <w:lang w:val="en-US" w:eastAsia="zh-CN" w:bidi="ar-SA"/>
        </w:rPr>
      </w:pPr>
    </w:p>
    <w:p>
      <w:pPr>
        <w:pStyle w:val="3"/>
        <w:spacing w:line="345" w:lineRule="auto"/>
        <w:ind w:right="275" w:firstLine="638"/>
        <w:rPr>
          <w:rFonts w:hint="eastAsia" w:ascii="仿宋_GB2312" w:hAnsi="仿宋_GB2312" w:eastAsia="仿宋_GB2312" w:cs="仿宋_GB2312"/>
          <w:b w:val="0"/>
          <w:bCs w:val="0"/>
          <w:color w:val="auto"/>
          <w:kern w:val="2"/>
          <w:sz w:val="32"/>
          <w:szCs w:val="32"/>
          <w:highlight w:val="none"/>
          <w:lang w:val="en-US" w:eastAsia="zh-CN" w:bidi="ar-SA"/>
        </w:rPr>
      </w:pPr>
    </w:p>
    <w:p>
      <w:pPr>
        <w:pStyle w:val="3"/>
        <w:spacing w:before="226" w:line="345" w:lineRule="auto"/>
        <w:ind w:right="114"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十、“三公”经费：纳入同级财政预决算管理“三公”经费， 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 过路过桥费、保险费、安全奖励费用等支出；公务接待费反映单位按规定开支的各类公务接待（含外宾接待）支出。</w:t>
      </w:r>
    </w:p>
    <w:p>
      <w:pPr>
        <w:pStyle w:val="3"/>
        <w:spacing w:line="345" w:lineRule="auto"/>
        <w:ind w:right="156" w:firstLine="638"/>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spacing w:line="345" w:lineRule="auto"/>
        <w:ind w:right="273" w:firstLine="638"/>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十二、工资福利支出：单位支付给在职职工和编制外长期聘用人员的各类劳动报酬，以及为上述人员缴纳的各项社会保险费 等。</w:t>
      </w:r>
    </w:p>
    <w:p>
      <w:pPr>
        <w:pStyle w:val="3"/>
        <w:spacing w:line="404" w:lineRule="exact"/>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十三、商品和服务支出：单位购买商品和服务的支出。</w:t>
      </w:r>
    </w:p>
    <w:p>
      <w:pPr>
        <w:pStyle w:val="3"/>
        <w:spacing w:before="180" w:line="345" w:lineRule="auto"/>
        <w:ind w:right="273" w:firstLine="638"/>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十四、对个人和家庭的补助支出：单位用于对个人和家庭的补助支出。</w:t>
      </w:r>
    </w:p>
    <w:p>
      <w:pPr>
        <w:pStyle w:val="3"/>
        <w:spacing w:line="345" w:lineRule="auto"/>
        <w:ind w:right="271" w:firstLine="638"/>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十五、年末结转：本年度或以前年度预算安排，已执行但尚未完成或因客观条件发生变化无法按原计划实施，需延迟到以后年度按有关规定继续使用的资金。</w:t>
      </w:r>
    </w:p>
    <w:p>
      <w:pPr>
        <w:spacing w:line="345" w:lineRule="auto"/>
        <w:jc w:val="both"/>
        <w:rPr>
          <w:rFonts w:hint="eastAsia" w:ascii="仿宋_GB2312" w:hAnsi="仿宋_GB2312" w:eastAsia="仿宋_GB2312" w:cs="仿宋_GB2312"/>
          <w:b w:val="0"/>
          <w:bCs w:val="0"/>
          <w:color w:val="auto"/>
          <w:kern w:val="2"/>
          <w:sz w:val="32"/>
          <w:szCs w:val="32"/>
          <w:highlight w:val="none"/>
          <w:lang w:val="en-US" w:eastAsia="zh-CN" w:bidi="ar-SA"/>
        </w:rPr>
        <w:sectPr>
          <w:pgSz w:w="11910" w:h="16840"/>
          <w:pgMar w:top="1580" w:right="1200" w:bottom="280" w:left="1480" w:header="720" w:footer="720" w:gutter="0"/>
          <w:cols w:space="720" w:num="1"/>
        </w:sectPr>
      </w:pPr>
    </w:p>
    <w:p>
      <w:pPr>
        <w:pStyle w:val="3"/>
        <w:spacing w:line="345" w:lineRule="auto"/>
        <w:ind w:right="275" w:firstLine="638"/>
        <w:rPr>
          <w:rFonts w:hint="eastAsia" w:ascii="仿宋_GB2312" w:hAnsi="仿宋_GB2312" w:eastAsia="仿宋_GB2312" w:cs="仿宋_GB2312"/>
          <w:b w:val="0"/>
          <w:bCs w:val="0"/>
          <w:color w:val="auto"/>
          <w:kern w:val="2"/>
          <w:sz w:val="32"/>
          <w:szCs w:val="32"/>
          <w:highlight w:val="none"/>
          <w:lang w:val="en-US" w:eastAsia="zh-CN" w:bidi="ar-SA"/>
        </w:rPr>
      </w:pPr>
    </w:p>
    <w:p>
      <w:pPr>
        <w:pStyle w:val="3"/>
        <w:spacing w:before="226" w:line="345" w:lineRule="auto"/>
        <w:ind w:right="273" w:firstLine="638"/>
        <w:jc w:val="both"/>
        <w:rPr>
          <w:rFonts w:hint="eastAsia" w:ascii="仿宋_GB2312" w:hAnsi="仿宋_GB2312" w:eastAsia="仿宋_GB2312" w:cs="仿宋_GB2312"/>
          <w:b w:val="0"/>
          <w:bCs w:val="0"/>
          <w:color w:val="auto"/>
          <w:kern w:val="2"/>
          <w:sz w:val="32"/>
          <w:szCs w:val="32"/>
          <w:highlight w:val="none"/>
          <w:lang w:val="en-US" w:eastAsia="zh-CN" w:bidi="ar-SA"/>
        </w:rPr>
        <w:sectPr>
          <w:pgSz w:w="11910" w:h="16840"/>
          <w:pgMar w:top="1580" w:right="1200" w:bottom="280" w:left="1480" w:header="720" w:footer="720" w:gutter="0"/>
          <w:cols w:space="720" w:num="1"/>
        </w:sectPr>
      </w:pPr>
      <w:r>
        <w:rPr>
          <w:rFonts w:hint="eastAsia" w:ascii="仿宋_GB2312" w:hAnsi="仿宋_GB2312" w:eastAsia="仿宋_GB2312" w:cs="仿宋_GB2312"/>
          <w:b w:val="0"/>
          <w:bCs w:val="0"/>
          <w:color w:val="auto"/>
          <w:kern w:val="2"/>
          <w:sz w:val="32"/>
          <w:szCs w:val="32"/>
          <w:highlight w:val="none"/>
          <w:lang w:val="en-US" w:eastAsia="zh-CN" w:bidi="ar-SA"/>
        </w:rPr>
        <w:t>十六、年末结余：本年度或以前年度预算安排，已执行完毕 或因客观条件发生变化无法按原预算安排实施，不需要再使用或 无法按原预算安排继续使用的资金。</w:t>
      </w:r>
    </w:p>
    <w:p>
      <w:pPr>
        <w:rPr>
          <w:rFonts w:hint="eastAsia" w:eastAsia="宋体"/>
          <w:lang w:val="en-US" w:eastAsia="zh-CN"/>
        </w:rPr>
      </w:pP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5971DD00"/>
    <w:multiLevelType w:val="singleLevel"/>
    <w:tmpl w:val="5971DD00"/>
    <w:lvl w:ilvl="0" w:tentative="0">
      <w:start w:val="1"/>
      <w:numFmt w:val="decimal"/>
      <w:suff w:val="nothing"/>
      <w:lvlText w:val="%1．"/>
      <w:lvlJc w:val="left"/>
      <w:pPr>
        <w:ind w:left="451" w:firstLine="4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CC7257"/>
    <w:rsid w:val="01C46BF1"/>
    <w:rsid w:val="03DC2804"/>
    <w:rsid w:val="0BA304CD"/>
    <w:rsid w:val="0D9062E7"/>
    <w:rsid w:val="12F81E26"/>
    <w:rsid w:val="15905ECD"/>
    <w:rsid w:val="1C5C5DAD"/>
    <w:rsid w:val="1F2729EF"/>
    <w:rsid w:val="1F811484"/>
    <w:rsid w:val="21800395"/>
    <w:rsid w:val="26653AD6"/>
    <w:rsid w:val="26FB3DD6"/>
    <w:rsid w:val="2CD7012E"/>
    <w:rsid w:val="2E642840"/>
    <w:rsid w:val="2E7E72B8"/>
    <w:rsid w:val="2E820A59"/>
    <w:rsid w:val="2F124E7D"/>
    <w:rsid w:val="2FD3060D"/>
    <w:rsid w:val="31EE2784"/>
    <w:rsid w:val="325E1D2C"/>
    <w:rsid w:val="33C7781A"/>
    <w:rsid w:val="387927B5"/>
    <w:rsid w:val="3E396404"/>
    <w:rsid w:val="3E8A5D1C"/>
    <w:rsid w:val="3ECC5C74"/>
    <w:rsid w:val="48056DC3"/>
    <w:rsid w:val="4A3B2340"/>
    <w:rsid w:val="4C2D53B1"/>
    <w:rsid w:val="4D3D47C6"/>
    <w:rsid w:val="4F702056"/>
    <w:rsid w:val="4FC10099"/>
    <w:rsid w:val="50C8334B"/>
    <w:rsid w:val="536A1A37"/>
    <w:rsid w:val="56E244BA"/>
    <w:rsid w:val="5BBF33CD"/>
    <w:rsid w:val="5D914E11"/>
    <w:rsid w:val="5E962EC4"/>
    <w:rsid w:val="5F152507"/>
    <w:rsid w:val="5FC239CF"/>
    <w:rsid w:val="606D3F2E"/>
    <w:rsid w:val="63056908"/>
    <w:rsid w:val="66132327"/>
    <w:rsid w:val="6882577F"/>
    <w:rsid w:val="6B227233"/>
    <w:rsid w:val="6D101368"/>
    <w:rsid w:val="6E2D0B6D"/>
    <w:rsid w:val="6F4F642F"/>
    <w:rsid w:val="6F640286"/>
    <w:rsid w:val="71C52037"/>
    <w:rsid w:val="72567CE5"/>
    <w:rsid w:val="747475CC"/>
    <w:rsid w:val="75265254"/>
    <w:rsid w:val="78C018EE"/>
    <w:rsid w:val="78E64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1</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2020-12-01T02:39:42Z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