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w:t>
      </w:r>
      <w:r>
        <w:rPr>
          <w:rFonts w:hint="eastAsia" w:ascii="黑体" w:hAnsi="黑体" w:eastAsia="黑体" w:cs="黑体"/>
          <w:color w:val="auto"/>
          <w:sz w:val="52"/>
          <w:szCs w:val="52"/>
          <w:highlight w:val="none"/>
          <w:lang w:val="en-US" w:eastAsia="zh-CN"/>
        </w:rPr>
        <w:t>19</w:t>
      </w:r>
      <w:r>
        <w:rPr>
          <w:rFonts w:hint="eastAsia" w:ascii="黑体" w:hAnsi="黑体" w:eastAsia="黑体" w:cs="黑体"/>
          <w:color w:val="auto"/>
          <w:sz w:val="52"/>
          <w:szCs w:val="52"/>
          <w:highlight w:val="none"/>
          <w:lang w:eastAsia="zh-CN"/>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濮阳县信访局</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濮阳县信访局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Borders>
            <w:top w:val="none" w:sz="0" w:space="0"/>
            <w:left w:val="none" w:sz="0" w:space="0"/>
            <w:bottom w:val="none" w:sz="0" w:space="0"/>
            <w:right w:val="none" w:sz="0" w:space="0"/>
          </w:pgBorders>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濮阳县信访局</w:t>
      </w:r>
      <w:r>
        <w:rPr>
          <w:rFonts w:hint="eastAsia" w:ascii="黑体" w:hAnsi="黑体" w:eastAsia="黑体" w:cs="黑体"/>
          <w:color w:val="auto"/>
          <w:sz w:val="48"/>
          <w:szCs w:val="48"/>
          <w:highlight w:val="none"/>
        </w:rPr>
        <w:t>概况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rPr>
          <w:rFonts w:hint="eastAsia" w:ascii="宋体" w:hAnsi="宋体"/>
          <w:b/>
          <w:sz w:val="28"/>
          <w:szCs w:val="28"/>
        </w:rPr>
      </w:pPr>
      <w:r>
        <w:rPr>
          <w:rFonts w:hint="eastAsia" w:ascii="宋体" w:hAnsi="宋体"/>
          <w:b/>
          <w:sz w:val="28"/>
          <w:szCs w:val="28"/>
        </w:rPr>
        <w:t>一、主要职能</w:t>
      </w:r>
    </w:p>
    <w:p>
      <w:pPr>
        <w:rPr>
          <w:rFonts w:hint="eastAsia" w:ascii="宋体" w:hAnsi="宋体"/>
          <w:sz w:val="28"/>
          <w:szCs w:val="28"/>
        </w:rPr>
      </w:pPr>
      <w:r>
        <w:rPr>
          <w:rFonts w:hint="eastAsia" w:ascii="宋体" w:hAnsi="宋体"/>
          <w:sz w:val="28"/>
          <w:szCs w:val="28"/>
        </w:rPr>
        <w:t xml:space="preserve"> （一）宣传贯彻国务院《信访条例》。</w:t>
      </w:r>
    </w:p>
    <w:p>
      <w:pPr>
        <w:rPr>
          <w:rFonts w:hint="eastAsia" w:ascii="宋体" w:hAnsi="宋体"/>
          <w:sz w:val="28"/>
          <w:szCs w:val="28"/>
        </w:rPr>
      </w:pPr>
      <w:r>
        <w:rPr>
          <w:rFonts w:hint="eastAsia" w:ascii="宋体" w:hAnsi="宋体"/>
          <w:sz w:val="28"/>
          <w:szCs w:val="28"/>
        </w:rPr>
        <w:t>（二）受理、答复、解决群众反映的问题。</w:t>
      </w:r>
    </w:p>
    <w:p>
      <w:pPr>
        <w:rPr>
          <w:rFonts w:hint="eastAsia" w:ascii="宋体" w:hAnsi="宋体"/>
          <w:sz w:val="28"/>
          <w:szCs w:val="28"/>
        </w:rPr>
      </w:pPr>
      <w:r>
        <w:rPr>
          <w:rFonts w:hint="eastAsia" w:ascii="宋体" w:hAnsi="宋体"/>
          <w:sz w:val="28"/>
          <w:szCs w:val="28"/>
        </w:rPr>
        <w:t>（三）对群众诉求进行登记、分类、归纳及分析，为领导的正确决策提供服务。</w:t>
      </w:r>
    </w:p>
    <w:p>
      <w:pPr>
        <w:rPr>
          <w:rFonts w:hint="eastAsia" w:ascii="宋体" w:hAnsi="宋体"/>
          <w:sz w:val="28"/>
          <w:szCs w:val="28"/>
        </w:rPr>
      </w:pPr>
      <w:r>
        <w:rPr>
          <w:rFonts w:hint="eastAsia" w:ascii="宋体" w:hAnsi="宋体"/>
          <w:sz w:val="28"/>
          <w:szCs w:val="28"/>
        </w:rPr>
        <w:t>（四）根据群众诉求事项，引导他们到相关单位的现场办公地点，归口协调解决问题。</w:t>
      </w:r>
    </w:p>
    <w:p>
      <w:pPr>
        <w:ind w:firstLine="640" w:firstLineChars="200"/>
        <w:rPr>
          <w:rFonts w:hint="eastAsia" w:ascii="仿宋" w:hAnsi="仿宋" w:eastAsia="仿宋" w:cs="仿宋"/>
          <w:sz w:val="32"/>
          <w:szCs w:val="32"/>
          <w:lang w:val="en-US" w:eastAsia="zh-CN"/>
        </w:r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ind w:firstLine="560" w:firstLineChars="200"/>
        <w:rPr>
          <w:rFonts w:hint="eastAsia" w:ascii="宋体" w:hAnsi="宋体"/>
          <w:sz w:val="28"/>
          <w:szCs w:val="28"/>
        </w:rPr>
      </w:pPr>
      <w:r>
        <w:rPr>
          <w:rFonts w:hint="eastAsia" w:ascii="宋体" w:hAnsi="宋体"/>
          <w:sz w:val="28"/>
          <w:szCs w:val="28"/>
        </w:rPr>
        <w:t>濮阳县信访局内设办公室、办信股、综合调研股（宣传股）、督查股（联席办）、复查办公室、网络信访股6个职能科室。</w:t>
      </w:r>
    </w:p>
    <w:p>
      <w:pPr>
        <w:ind w:firstLine="640" w:firstLineChars="200"/>
        <w:rPr>
          <w:rFonts w:hint="eastAsia" w:ascii="宋体" w:hAnsi="宋体"/>
          <w:sz w:val="28"/>
          <w:szCs w:val="28"/>
        </w:rPr>
      </w:pPr>
      <w:r>
        <w:rPr>
          <w:rFonts w:hint="eastAsia" w:ascii="仿宋_GB2312" w:hAnsi="仿宋_GB2312" w:eastAsia="仿宋_GB2312" w:cs="仿宋_GB2312"/>
          <w:kern w:val="0"/>
          <w:sz w:val="32"/>
          <w:szCs w:val="32"/>
        </w:rPr>
        <w:t>纳入濮阳县人民政府</w:t>
      </w:r>
      <w:r>
        <w:rPr>
          <w:rFonts w:hint="eastAsia" w:ascii="仿宋_GB2312" w:hAnsi="仿宋_GB2312" w:eastAsia="仿宋_GB2312" w:cs="仿宋_GB2312"/>
          <w:kern w:val="0"/>
          <w:sz w:val="32"/>
          <w:szCs w:val="32"/>
          <w:lang w:val="en-US" w:eastAsia="zh-CN"/>
        </w:rPr>
        <w:t>信访局2019</w:t>
      </w:r>
      <w:r>
        <w:rPr>
          <w:rFonts w:hint="eastAsia" w:ascii="仿宋_GB2312" w:hAnsi="仿宋_GB2312" w:eastAsia="仿宋_GB2312" w:cs="仿宋_GB2312"/>
          <w:kern w:val="0"/>
          <w:sz w:val="32"/>
          <w:szCs w:val="32"/>
        </w:rPr>
        <w:t>年度部门预算编制范围的的单位包括：濮阳县人民政府</w:t>
      </w:r>
      <w:r>
        <w:rPr>
          <w:rFonts w:hint="eastAsia" w:ascii="仿宋_GB2312" w:hAnsi="仿宋_GB2312" w:eastAsia="仿宋_GB2312" w:cs="仿宋_GB2312"/>
          <w:kern w:val="0"/>
          <w:sz w:val="32"/>
          <w:szCs w:val="32"/>
          <w:lang w:val="en-US" w:eastAsia="zh-CN"/>
        </w:rPr>
        <w:t>信访局</w:t>
      </w:r>
      <w:bookmarkStart w:id="0" w:name="_GoBack"/>
      <w:bookmarkEnd w:id="0"/>
      <w:r>
        <w:rPr>
          <w:rFonts w:hint="eastAsia" w:ascii="仿宋_GB2312" w:hAnsi="仿宋_GB2312" w:eastAsia="仿宋_GB2312" w:cs="仿宋_GB2312"/>
          <w:kern w:val="0"/>
          <w:sz w:val="32"/>
          <w:szCs w:val="32"/>
        </w:rPr>
        <w:t>本级，我单位没有下属二级预算单位，本级决算即汇总决算。</w:t>
      </w:r>
    </w:p>
    <w:p>
      <w:pPr>
        <w:widowControl/>
        <w:jc w:val="left"/>
        <w:rPr>
          <w:rFonts w:hint="default" w:ascii="黑体" w:hAnsi="宋体" w:eastAsia="黑体" w:cs="宋体"/>
          <w:color w:val="auto"/>
          <w:kern w:val="0"/>
          <w:sz w:val="28"/>
          <w:szCs w:val="28"/>
          <w:highlight w:val="none"/>
          <w:lang w:val="en-US" w:eastAsia="zh-CN"/>
        </w:rPr>
      </w:pPr>
      <w:r>
        <w:rPr>
          <w:rFonts w:hint="eastAsia" w:ascii="黑体" w:hAnsi="宋体" w:eastAsia="黑体" w:cs="宋体"/>
          <w:color w:val="auto"/>
          <w:kern w:val="0"/>
          <w:sz w:val="28"/>
          <w:szCs w:val="28"/>
          <w:highlight w:val="none"/>
          <w:lang w:val="en-US" w:eastAsia="zh-CN"/>
        </w:rPr>
        <w:t xml:space="preserve"> </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tbl>
      <w:tblPr>
        <w:tblStyle w:val="6"/>
        <w:tblW w:w="14070" w:type="dxa"/>
        <w:tblInd w:w="0" w:type="dxa"/>
        <w:shd w:val="clear" w:color="auto" w:fill="auto"/>
        <w:tblLayout w:type="autofit"/>
        <w:tblCellMar>
          <w:top w:w="0" w:type="dxa"/>
          <w:left w:w="0" w:type="dxa"/>
          <w:bottom w:w="0" w:type="dxa"/>
          <w:right w:w="0" w:type="dxa"/>
        </w:tblCellMar>
      </w:tblPr>
      <w:tblGrid>
        <w:gridCol w:w="4820"/>
        <w:gridCol w:w="680"/>
        <w:gridCol w:w="999"/>
        <w:gridCol w:w="4820"/>
        <w:gridCol w:w="680"/>
        <w:gridCol w:w="2071"/>
      </w:tblGrid>
      <w:tr>
        <w:tblPrEx>
          <w:shd w:val="clear" w:color="auto" w:fill="auto"/>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7520" w:type="dxa"/>
        <w:tblInd w:w="0" w:type="dxa"/>
        <w:shd w:val="clear" w:color="auto" w:fill="auto"/>
        <w:tblLayout w:type="autofit"/>
        <w:tblCellMar>
          <w:top w:w="0" w:type="dxa"/>
          <w:left w:w="0" w:type="dxa"/>
          <w:bottom w:w="0" w:type="dxa"/>
          <w:right w:w="0" w:type="dxa"/>
        </w:tblCellMar>
      </w:tblPr>
      <w:tblGrid>
        <w:gridCol w:w="1830"/>
        <w:gridCol w:w="36"/>
        <w:gridCol w:w="36"/>
        <w:gridCol w:w="3330"/>
        <w:gridCol w:w="1800"/>
        <w:gridCol w:w="1800"/>
        <w:gridCol w:w="1722"/>
        <w:gridCol w:w="1722"/>
        <w:gridCol w:w="1722"/>
        <w:gridCol w:w="1722"/>
        <w:gridCol w:w="1800"/>
      </w:tblGrid>
      <w:tr>
        <w:tblPrEx>
          <w:shd w:val="clear" w:color="auto" w:fill="auto"/>
          <w:tblCellMar>
            <w:top w:w="0" w:type="dxa"/>
            <w:left w:w="0" w:type="dxa"/>
            <w:bottom w:w="0" w:type="dxa"/>
            <w:right w:w="0" w:type="dxa"/>
          </w:tblCellMar>
        </w:tblPrEx>
        <w:trPr>
          <w:trHeight w:val="390" w:hRule="atLeast"/>
        </w:trPr>
        <w:tc>
          <w:tcPr>
            <w:tcW w:w="17520" w:type="dxa"/>
            <w:gridSpan w:val="11"/>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jc w:val="left"/>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720" w:type="dxa"/>
        <w:tblInd w:w="0" w:type="dxa"/>
        <w:shd w:val="clear" w:color="auto" w:fill="auto"/>
        <w:tblLayout w:type="autofit"/>
        <w:tblCellMar>
          <w:top w:w="0" w:type="dxa"/>
          <w:left w:w="0" w:type="dxa"/>
          <w:bottom w:w="0" w:type="dxa"/>
          <w:right w:w="0" w:type="dxa"/>
        </w:tblCellMar>
      </w:tblPr>
      <w:tblGrid>
        <w:gridCol w:w="1830"/>
        <w:gridCol w:w="36"/>
        <w:gridCol w:w="36"/>
        <w:gridCol w:w="3330"/>
        <w:gridCol w:w="1800"/>
        <w:gridCol w:w="1800"/>
        <w:gridCol w:w="1800"/>
        <w:gridCol w:w="1670"/>
        <w:gridCol w:w="1619"/>
        <w:gridCol w:w="1800"/>
      </w:tblGrid>
      <w:tr>
        <w:tblPrEx>
          <w:shd w:val="clear" w:color="auto" w:fill="auto"/>
          <w:tblCellMar>
            <w:top w:w="0" w:type="dxa"/>
            <w:left w:w="0" w:type="dxa"/>
            <w:bottom w:w="0" w:type="dxa"/>
            <w:right w:w="0" w:type="dxa"/>
          </w:tblCellMar>
        </w:tblPrEx>
        <w:trPr>
          <w:trHeight w:val="390" w:hRule="atLeast"/>
        </w:trPr>
        <w:tc>
          <w:tcPr>
            <w:tcW w:w="15720"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334.54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jc w:val="left"/>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4790" w:type="dxa"/>
        <w:tblInd w:w="0" w:type="dxa"/>
        <w:shd w:val="clear" w:color="auto" w:fill="auto"/>
        <w:tblLayout w:type="autofit"/>
        <w:tblCellMar>
          <w:top w:w="0" w:type="dxa"/>
          <w:left w:w="0" w:type="dxa"/>
          <w:bottom w:w="0" w:type="dxa"/>
          <w:right w:w="0" w:type="dxa"/>
        </w:tblCellMar>
      </w:tblPr>
      <w:tblGrid>
        <w:gridCol w:w="3793"/>
        <w:gridCol w:w="505"/>
        <w:gridCol w:w="1459"/>
        <w:gridCol w:w="4304"/>
        <w:gridCol w:w="505"/>
        <w:gridCol w:w="850"/>
        <w:gridCol w:w="1459"/>
        <w:gridCol w:w="1915"/>
      </w:tblGrid>
      <w:tr>
        <w:tblPrEx>
          <w:shd w:val="clear" w:color="auto" w:fill="auto"/>
          <w:tblCellMar>
            <w:top w:w="0" w:type="dxa"/>
            <w:left w:w="0" w:type="dxa"/>
            <w:bottom w:w="0" w:type="dxa"/>
            <w:right w:w="0" w:type="dxa"/>
          </w:tblCellMar>
        </w:tblPrEx>
        <w:trPr>
          <w:trHeight w:val="390" w:hRule="atLeast"/>
        </w:trPr>
        <w:tc>
          <w:tcPr>
            <w:tcW w:w="1479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554" w:hRule="atLeast"/>
        </w:trPr>
        <w:tc>
          <w:tcPr>
            <w:tcW w:w="1479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jc w:val="left"/>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3800" w:type="dxa"/>
        <w:tblInd w:w="0" w:type="dxa"/>
        <w:shd w:val="clear" w:color="auto" w:fill="auto"/>
        <w:tblLayout w:type="autofit"/>
        <w:tblCellMar>
          <w:top w:w="0" w:type="dxa"/>
          <w:left w:w="0" w:type="dxa"/>
          <w:bottom w:w="0" w:type="dxa"/>
          <w:right w:w="0" w:type="dxa"/>
        </w:tblCellMar>
      </w:tblPr>
      <w:tblGrid>
        <w:gridCol w:w="2416"/>
        <w:gridCol w:w="48"/>
        <w:gridCol w:w="48"/>
        <w:gridCol w:w="4397"/>
        <w:gridCol w:w="2150"/>
        <w:gridCol w:w="2039"/>
        <w:gridCol w:w="2702"/>
      </w:tblGrid>
      <w:tr>
        <w:tblPrEx>
          <w:shd w:val="clear" w:color="auto" w:fill="auto"/>
          <w:tblCellMar>
            <w:top w:w="0" w:type="dxa"/>
            <w:left w:w="0" w:type="dxa"/>
            <w:bottom w:w="0" w:type="dxa"/>
            <w:right w:w="0" w:type="dxa"/>
          </w:tblCellMar>
        </w:tblPrEx>
        <w:trPr>
          <w:trHeight w:val="643" w:hRule="atLeast"/>
        </w:trPr>
        <w:tc>
          <w:tcPr>
            <w:tcW w:w="1380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329"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329"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3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61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35" w:hRule="atLeast"/>
        </w:trPr>
        <w:tc>
          <w:tcPr>
            <w:tcW w:w="224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3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6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12" w:hRule="atLeast"/>
        </w:trPr>
        <w:tc>
          <w:tcPr>
            <w:tcW w:w="224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5" w:hRule="atLeast"/>
        </w:trPr>
        <w:tc>
          <w:tcPr>
            <w:tcW w:w="224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3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723.54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334.54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389.00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9"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left"/>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4655" w:type="dxa"/>
        <w:tblInd w:w="0" w:type="dxa"/>
        <w:shd w:val="clear" w:color="auto" w:fill="auto"/>
        <w:tblLayout w:type="autofit"/>
        <w:tblCellMar>
          <w:top w:w="0" w:type="dxa"/>
          <w:left w:w="0" w:type="dxa"/>
          <w:bottom w:w="0" w:type="dxa"/>
          <w:right w:w="0" w:type="dxa"/>
        </w:tblCellMar>
      </w:tblPr>
      <w:tblGrid>
        <w:gridCol w:w="1830"/>
        <w:gridCol w:w="3330"/>
        <w:gridCol w:w="690"/>
        <w:gridCol w:w="580"/>
        <w:gridCol w:w="2230"/>
        <w:gridCol w:w="580"/>
        <w:gridCol w:w="580"/>
        <w:gridCol w:w="4210"/>
        <w:gridCol w:w="1290"/>
      </w:tblGrid>
      <w:tr>
        <w:tblPrEx>
          <w:shd w:val="clear" w:color="auto" w:fill="auto"/>
          <w:tblCellMar>
            <w:top w:w="0" w:type="dxa"/>
            <w:left w:w="0" w:type="dxa"/>
            <w:bottom w:w="0" w:type="dxa"/>
            <w:right w:w="0" w:type="dxa"/>
          </w:tblCellMar>
        </w:tblPrEx>
        <w:trPr>
          <w:trHeight w:val="390" w:hRule="atLeast"/>
        </w:trPr>
        <w:tc>
          <w:tcPr>
            <w:tcW w:w="14659" w:type="dxa"/>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1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4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1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6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0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4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6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306.41</w:t>
            </w:r>
          </w:p>
        </w:tc>
        <w:tc>
          <w:tcPr>
            <w:tcW w:w="0" w:type="auto"/>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28.13</w:t>
            </w:r>
          </w:p>
        </w:tc>
      </w:tr>
      <w:tr>
        <w:tblPrEx>
          <w:tblCellMar>
            <w:top w:w="0" w:type="dxa"/>
            <w:left w:w="0" w:type="dxa"/>
            <w:bottom w:w="0" w:type="dxa"/>
            <w:right w:w="0" w:type="dxa"/>
          </w:tblCellMar>
        </w:tblPrEx>
        <w:trPr>
          <w:trHeight w:val="308" w:hRule="atLeast"/>
        </w:trPr>
        <w:tc>
          <w:tcPr>
            <w:tcW w:w="0" w:type="auto"/>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3066" w:type="dxa"/>
        <w:tblInd w:w="0" w:type="dxa"/>
        <w:shd w:val="clear" w:color="auto" w:fill="auto"/>
        <w:tblLayout w:type="autofit"/>
        <w:tblCellMar>
          <w:top w:w="0" w:type="dxa"/>
          <w:left w:w="0" w:type="dxa"/>
          <w:bottom w:w="0" w:type="dxa"/>
          <w:right w:w="0" w:type="dxa"/>
        </w:tblCellMar>
      </w:tblPr>
      <w:tblGrid>
        <w:gridCol w:w="1830"/>
        <w:gridCol w:w="1132"/>
        <w:gridCol w:w="906"/>
        <w:gridCol w:w="1023"/>
        <w:gridCol w:w="1023"/>
        <w:gridCol w:w="958"/>
        <w:gridCol w:w="888"/>
        <w:gridCol w:w="1155"/>
        <w:gridCol w:w="861"/>
        <w:gridCol w:w="941"/>
        <w:gridCol w:w="919"/>
        <w:gridCol w:w="1430"/>
      </w:tblGrid>
      <w:tr>
        <w:tblPrEx>
          <w:shd w:val="clear" w:color="auto" w:fill="auto"/>
          <w:tblCellMar>
            <w:top w:w="0" w:type="dxa"/>
            <w:left w:w="0" w:type="dxa"/>
            <w:bottom w:w="0" w:type="dxa"/>
            <w:right w:w="0" w:type="dxa"/>
          </w:tblCellMar>
        </w:tblPrEx>
        <w:trPr>
          <w:trHeight w:val="540" w:hRule="atLeast"/>
        </w:trPr>
        <w:tc>
          <w:tcPr>
            <w:tcW w:w="13066" w:type="dxa"/>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687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6194"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183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952"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9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8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721"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3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183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0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9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9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3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13066"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p>
      <w:pPr>
        <w:jc w:val="center"/>
        <w:rPr>
          <w:rFonts w:hint="eastAsia" w:ascii="仿宋_GB2312" w:hAnsi="仿宋_GB2312" w:eastAsia="仿宋_GB2312" w:cs="仿宋_GB2312"/>
          <w:color w:val="auto"/>
          <w:sz w:val="32"/>
          <w:szCs w:val="32"/>
          <w:highlight w:val="none"/>
        </w:rPr>
      </w:pPr>
    </w:p>
    <w:tbl>
      <w:tblPr>
        <w:tblStyle w:val="6"/>
        <w:tblW w:w="15000" w:type="dxa"/>
        <w:tblInd w:w="0" w:type="dxa"/>
        <w:shd w:val="clear" w:color="auto" w:fill="auto"/>
        <w:tblLayout w:type="autofit"/>
        <w:tblCellMar>
          <w:top w:w="0" w:type="dxa"/>
          <w:left w:w="0" w:type="dxa"/>
          <w:bottom w:w="0" w:type="dxa"/>
          <w:right w:w="0" w:type="dxa"/>
        </w:tblCellMar>
      </w:tblPr>
      <w:tblGrid>
        <w:gridCol w:w="2986"/>
        <w:gridCol w:w="59"/>
        <w:gridCol w:w="59"/>
        <w:gridCol w:w="1485"/>
        <w:gridCol w:w="1575"/>
        <w:gridCol w:w="1575"/>
        <w:gridCol w:w="1575"/>
        <w:gridCol w:w="1575"/>
        <w:gridCol w:w="1575"/>
        <w:gridCol w:w="2536"/>
      </w:tblGrid>
      <w:tr>
        <w:tblPrEx>
          <w:shd w:val="clear" w:color="auto" w:fill="auto"/>
          <w:tblCellMar>
            <w:top w:w="0" w:type="dxa"/>
            <w:left w:w="0" w:type="dxa"/>
            <w:bottom w:w="0" w:type="dxa"/>
            <w:right w:w="0" w:type="dxa"/>
          </w:tblCellMar>
        </w:tblPrEx>
        <w:trPr>
          <w:trHeight w:val="390" w:hRule="atLeast"/>
        </w:trPr>
        <w:tc>
          <w:tcPr>
            <w:tcW w:w="15000" w:type="dxa"/>
            <w:gridSpan w:val="10"/>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部门：濮阳县信访局</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jc w:val="center"/>
        <w:rPr>
          <w:rFonts w:hint="eastAsia" w:ascii="仿宋_GB2312" w:hAnsi="仿宋_GB2312" w:eastAsia="仿宋_GB2312" w:cs="仿宋_GB2312"/>
          <w:color w:val="auto"/>
          <w:sz w:val="32"/>
          <w:szCs w:val="32"/>
          <w:highlight w:val="none"/>
        </w:rPr>
      </w:pPr>
    </w:p>
    <w:p>
      <w:pPr>
        <w:jc w:val="both"/>
        <w:rPr>
          <w:rFonts w:hint="eastAsia" w:ascii="仿宋_GB2312" w:hAnsi="仿宋_GB2312" w:eastAsia="仿宋_GB2312" w:cs="仿宋_GB2312"/>
          <w:color w:val="auto"/>
          <w:sz w:val="32"/>
          <w:szCs w:val="32"/>
          <w:highlight w:val="yellow"/>
          <w:lang w:val="en-US" w:eastAsia="zh-CN"/>
        </w:rPr>
        <w:sectPr>
          <w:pgSz w:w="16838" w:h="11906" w:orient="landscape"/>
          <w:pgMar w:top="720" w:right="720" w:bottom="720" w:left="72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2019年度收、支总计均为723.54万元。与上年度相比，收、支总计各增加197.17万元，增长137.45%。主要原因是人员增资，社保缴费基数增加、专项活动经、救济费的增加。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2019年度收入合计723.54万元，其中：财政拨款收入723.54万元，占100%。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2019年度支出合计723.54万元，其中：基本支出334.54万元，占46.2%；项目支出389万元，占53.8%。</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2019年度财政拨款收、支总计均为723.54万元。与上年度相比，财政拨款收、支总计各增加197.17万元，增长137.45%。主要原因是人员增资，社保缴费基数增加、专项活动经、救济费的增加。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2019年度一般公共预算财政拨款支出723.54万元，占本年支出合计的100%。与上年度相比，一般公共预算财政拨款支出增加407万元，增长228.7 %。主要原因是人员增资，社保缴费基数增加、专项活动经、救济费的增加。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2019年度一般公共预算财政拨款支出723.5万元，主要用于以下方面：一般公共服务支出（类）710.80万元，占98.2%；社会保障和就业（类）支出1.75万元，占0.24%；卫生健康支出（类）10.99万元，占1.51%；</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pPr>
      <w:r>
        <w:rPr>
          <w:rFonts w:hint="eastAsia" w:ascii="仿宋_GB2312" w:hAnsi="仿宋_GB2312" w:eastAsia="仿宋_GB2312" w:cs="仿宋_GB2312"/>
          <w:color w:val="auto"/>
          <w:sz w:val="32"/>
          <w:szCs w:val="32"/>
          <w:highlight w:val="none"/>
          <w:lang w:val="en-US" w:eastAsia="zh-CN"/>
        </w:rPr>
        <w:t>2019年度一般公共预算财政拨款支出年初预算为723.5万元，支出决算为723.5万元，完成年初预算的100%。其中：</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一般公共服务（类）党委办公厅（室）及相关机构事务（款）行政运行 （项）。</w:t>
      </w:r>
      <w:r>
        <w:rPr>
          <w:rFonts w:hint="eastAsia" w:ascii="仿宋_GB2312" w:hAnsi="仿宋_GB2312" w:eastAsia="仿宋_GB2312" w:cs="仿宋_GB2312"/>
          <w:b w:val="0"/>
          <w:bCs w:val="0"/>
          <w:color w:val="auto"/>
          <w:sz w:val="32"/>
          <w:szCs w:val="32"/>
          <w:highlight w:val="none"/>
          <w:lang w:val="en-US" w:eastAsia="zh-CN"/>
        </w:rPr>
        <w:t>年初预算为 321.8万元，支出决算为321.8 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2．一般公共服务（类）群众团体事务（款）一般行政管理事务（项）。</w:t>
      </w:r>
      <w:r>
        <w:rPr>
          <w:rFonts w:hint="eastAsia" w:ascii="仿宋_GB2312" w:hAnsi="仿宋_GB2312" w:eastAsia="仿宋_GB2312" w:cs="仿宋_GB2312"/>
          <w:b w:val="0"/>
          <w:bCs w:val="0"/>
          <w:color w:val="auto"/>
          <w:sz w:val="32"/>
          <w:szCs w:val="32"/>
          <w:highlight w:val="none"/>
          <w:lang w:val="en-US" w:eastAsia="zh-CN"/>
        </w:rPr>
        <w:t>年初预算为389万元，支出决算为389万元，完成年初预算的100%。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社会保障和就业支出（类）行政事业单位离退休（款） 机关事业单位基本养老保险缴费支出（项）。</w:t>
      </w:r>
      <w:r>
        <w:rPr>
          <w:rFonts w:hint="eastAsia" w:ascii="仿宋_GB2312" w:hAnsi="仿宋_GB2312" w:eastAsia="仿宋_GB2312" w:cs="仿宋_GB2312"/>
          <w:b w:val="0"/>
          <w:bCs w:val="0"/>
          <w:color w:val="auto"/>
          <w:sz w:val="32"/>
          <w:szCs w:val="32"/>
          <w:highlight w:val="none"/>
          <w:lang w:val="en-US" w:eastAsia="zh-CN"/>
        </w:rPr>
        <w:t>年初预算数为 1.75万 元，支出决算数为1.75 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卫生健康支出（类）行政事业单位医疗（款） 行政单位医疗（项）。</w:t>
      </w:r>
      <w:r>
        <w:rPr>
          <w:rFonts w:hint="eastAsia" w:ascii="仿宋_GB2312" w:hAnsi="仿宋_GB2312" w:eastAsia="仿宋_GB2312" w:cs="仿宋_GB2312"/>
          <w:b w:val="0"/>
          <w:bCs w:val="0"/>
          <w:color w:val="auto"/>
          <w:sz w:val="32"/>
          <w:szCs w:val="32"/>
          <w:highlight w:val="none"/>
          <w:lang w:val="en-US" w:eastAsia="zh-CN"/>
        </w:rPr>
        <w:t>年初预算数为4.49万元，支出决算数为4.49万元，完成年初预算的100%。</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卫生健康支出（类）行政事业单位医疗（款） 事业单位医疗（项）。</w:t>
      </w:r>
      <w:r>
        <w:rPr>
          <w:rFonts w:hint="eastAsia" w:ascii="仿宋_GB2312" w:hAnsi="仿宋_GB2312" w:eastAsia="仿宋_GB2312" w:cs="仿宋_GB2312"/>
          <w:b w:val="0"/>
          <w:bCs w:val="0"/>
          <w:color w:val="auto"/>
          <w:sz w:val="32"/>
          <w:szCs w:val="32"/>
          <w:highlight w:val="none"/>
          <w:lang w:val="en-US" w:eastAsia="zh-CN"/>
        </w:rPr>
        <w:t>年初预算数为6.50万元，支出决算数为6.50万元，完成年初预算的100%。</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2019年度一般公共预算财政拨款基本支出334.5万元。与上年度相比，一般公共预算财政拨款基本支出增加18.1万元，增长5.4%。主要原因是人员增资，社保缴费基数增加。其中：</w:t>
      </w:r>
      <w:r>
        <w:rPr>
          <w:rFonts w:hint="eastAsia" w:ascii="仿宋_GB2312" w:hAnsi="仿宋_GB2312" w:eastAsia="仿宋_GB2312" w:cs="仿宋_GB2312"/>
          <w:b w:val="0"/>
          <w:bCs w:val="0"/>
          <w:color w:val="auto"/>
          <w:sz w:val="32"/>
          <w:szCs w:val="32"/>
          <w:highlight w:val="none"/>
          <w:lang w:val="en-US" w:eastAsia="zh-CN"/>
        </w:rPr>
        <w:t>人员经费304.66万元，主要包括：基本工资、津贴补贴、绩效工资、其他社会保障缴费、生活补助</w:t>
      </w:r>
      <w:r>
        <w:rPr>
          <w:rFonts w:hint="eastAsia" w:ascii="仿宋_GB2312" w:hAnsi="仿宋_GB2312" w:eastAsia="仿宋_GB2312" w:cs="仿宋_GB2312"/>
          <w:color w:val="auto"/>
          <w:sz w:val="32"/>
          <w:szCs w:val="32"/>
          <w:highlight w:val="none"/>
          <w:lang w:val="en-US" w:eastAsia="zh-CN"/>
        </w:rPr>
        <w:t>；公用经费28.13万元，主要包括：办公费、印刷费、邮电费、差旅费、劳务费、工会经费、公务用车运行维护费、其他交通费用。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2019年度“三公”经费财政拨款支出预算为1万元，支出决算为1万元，完成预算的100%。。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2019年度“三公”经费财政拨款支出决算中，因公出国（境）费支出决算0万元，完成预算的0%；公务用车购置及运行费支出决算1万元，完成预算的100%；公务接待费支出决算0万元，完成预算的0%，占0%。</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初预算为1万元，支出决算为1万元，完成年初预算的100%。其中：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公务用车运行支出1</w:t>
      </w:r>
      <w:r>
        <w:rPr>
          <w:rFonts w:hint="eastAsia" w:ascii="仿宋_GB2312" w:hAnsi="仿宋_GB2312" w:eastAsia="仿宋_GB2312" w:cs="仿宋_GB2312"/>
          <w:color w:val="auto"/>
          <w:sz w:val="32"/>
          <w:szCs w:val="32"/>
          <w:highlight w:val="none"/>
          <w:lang w:val="en-US" w:eastAsia="zh-CN"/>
        </w:rPr>
        <w:t>万元。2019年期末，部门开支财政拨款的公务用车保有量为1辆。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pStyle w:val="3"/>
        <w:spacing w:line="408" w:lineRule="exact"/>
        <w:ind w:firstLine="960" w:firstLineChars="300"/>
        <w:rPr>
          <w:rFonts w:hint="eastAsia" w:ascii="黑体" w:eastAsia="黑体"/>
        </w:rPr>
      </w:pPr>
      <w:r>
        <w:rPr>
          <w:rFonts w:hint="eastAsia" w:ascii="黑体" w:eastAsia="黑体"/>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根据财政预算管理要求，濮阳县信访局加强在资金使用过程中管理，对2019年度一般公共预算项目支出全面开展绩效自评。 </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1"/>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濮阳县信访局充分认识项目绩效自评的重要性，自评覆盖率达到100%，所有项目基本达到预期目标，群众满意度高。</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ind w:firstLine="640" w:firstLineChars="200"/>
        <w:jc w:val="left"/>
        <w:rPr>
          <w:rFonts w:hint="eastAsia" w:ascii="仿宋" w:hAnsi="仿宋" w:eastAsia="仿宋" w:cs="仿宋"/>
          <w:color w:val="000000"/>
          <w:kern w:val="0"/>
          <w:sz w:val="31"/>
          <w:szCs w:val="31"/>
          <w:lang w:bidi="ar"/>
        </w:rPr>
      </w:pPr>
      <w:r>
        <w:rPr>
          <w:rFonts w:hint="eastAsia" w:ascii="楷体_GB2312" w:hAnsi="楷体_GB2312" w:eastAsia="楷体_GB2312" w:cs="楷体_GB2312"/>
          <w:b w:val="0"/>
          <w:bCs w:val="0"/>
          <w:sz w:val="32"/>
          <w:szCs w:val="32"/>
          <w:lang w:eastAsia="zh-CN"/>
        </w:rPr>
        <w:t>我部门</w:t>
      </w:r>
      <w:r>
        <w:rPr>
          <w:rFonts w:hint="eastAsia" w:ascii="楷体_GB2312" w:hAnsi="楷体_GB2312" w:eastAsia="楷体_GB2312" w:cs="楷体_GB2312"/>
          <w:b w:val="0"/>
          <w:bCs w:val="0"/>
          <w:sz w:val="32"/>
          <w:szCs w:val="32"/>
          <w:lang w:val="en-US" w:eastAsia="zh-CN"/>
        </w:rPr>
        <w:t>无重点绩效评价项目</w:t>
      </w:r>
      <w:r>
        <w:rPr>
          <w:rFonts w:hint="eastAsia" w:ascii="楷体_GB2312" w:hAnsi="楷体_GB2312" w:eastAsia="楷体_GB2312" w:cs="楷体_GB2312"/>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仿宋" w:hAnsi="仿宋" w:eastAsia="仿宋" w:cs="仿宋"/>
          <w:color w:val="auto"/>
          <w:sz w:val="32"/>
          <w:szCs w:val="32"/>
          <w:highlight w:val="none"/>
          <w:lang w:val="en-US" w:eastAsia="zh-CN"/>
        </w:rPr>
      </w:pPr>
    </w:p>
    <w:p>
      <w:pPr>
        <w:widowControl/>
        <w:numPr>
          <w:ilvl w:val="0"/>
          <w:numId w:val="4"/>
        </w:numPr>
        <w:spacing w:beforeLines="0" w:afterLines="0" w:line="59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政府性基金预算财政拨款支出决算情况说明</w:t>
      </w:r>
    </w:p>
    <w:p>
      <w:pPr>
        <w:widowControl/>
        <w:numPr>
          <w:ilvl w:val="0"/>
          <w:numId w:val="0"/>
        </w:numPr>
        <w:spacing w:beforeLines="0" w:afterLines="0" w:line="59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201</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 xml:space="preserve"> 年度政府性基金预算财政拨款支出年初预算为0.00 万元，支出决算为 0.00 万元，完成年初预算的0.00</w:t>
      </w:r>
      <w:r>
        <w:rPr>
          <w:rFonts w:hint="eastAsia" w:ascii="仿宋" w:hAnsi="仿宋" w:eastAsia="仿宋" w:cs="仿宋"/>
          <w:sz w:val="32"/>
          <w:szCs w:val="32"/>
          <w:lang w:eastAsia="zh-CN"/>
        </w:rPr>
        <w:drawing>
          <wp:inline distT="0" distB="0" distL="114300" distR="114300">
            <wp:extent cx="85090" cy="154940"/>
            <wp:effectExtent l="0" t="0" r="10160" b="165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85090" cy="154940"/>
                    </a:xfrm>
                    <a:prstGeom prst="rect">
                      <a:avLst/>
                    </a:prstGeom>
                    <a:noFill/>
                    <a:ln>
                      <a:noFill/>
                    </a:ln>
                  </pic:spPr>
                </pic:pic>
              </a:graphicData>
            </a:graphic>
          </wp:inline>
        </w:drawing>
      </w:r>
      <w:r>
        <w:rPr>
          <w:rFonts w:hint="eastAsia" w:ascii="仿宋" w:hAnsi="仿宋" w:eastAsia="仿宋" w:cs="仿宋"/>
          <w:sz w:val="32"/>
          <w:szCs w:val="32"/>
          <w:lang w:eastAsia="zh-CN"/>
        </w:rPr>
        <w:t>。</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初预算为28.1万元，支出决算为28.1万元，完成年初预算的100%。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2019年度机关运行经费支出4,737万元，较上年度减少5.17万元，减少15.5%。减少的主要原因是：人员经费开支减少。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2019年度政府采购支出总额30万元，其中：政府采购货物支出30万元</w:t>
      </w:r>
      <w:r>
        <w:rPr>
          <w:rFonts w:hint="eastAsia" w:ascii="仿宋_GB2312" w:hAnsi="仿宋_GB2312" w:eastAsia="仿宋_GB2312" w:cs="仿宋_GB2312"/>
          <w:b w:val="0"/>
          <w:bCs w:val="0"/>
          <w:color w:val="auto"/>
          <w:sz w:val="32"/>
          <w:szCs w:val="32"/>
          <w:highlight w:val="none"/>
          <w:lang w:val="en-US" w:eastAsia="zh-CN"/>
        </w:rPr>
        <w:t>、政府采购工程支出0万元、政府采购服务支出0万元。授予中小企业合同金额0万元，占政府采购支出总额的0%，其中：授予小微企业合同金额0万元，占政府采购支出总额的0%。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2019年期末，我部门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rPr>
          <w:rFonts w:hint="eastAsia" w:eastAsia="宋体"/>
          <w:lang w:val="en-US" w:eastAsia="zh-CN"/>
        </w:rPr>
      </w:pPr>
      <w:r>
        <w:rPr>
          <w:rFonts w:hint="eastAsia"/>
          <w:lang w:val="en-US" w:eastAsia="zh-CN"/>
        </w:rPr>
        <w:t xml:space="preserve"> </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abstractNum w:abstractNumId="3">
    <w:nsid w:val="6E9BBA54"/>
    <w:multiLevelType w:val="singleLevel"/>
    <w:tmpl w:val="6E9BBA54"/>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D3F2E"/>
    <w:rsid w:val="00B26AA8"/>
    <w:rsid w:val="00CC7257"/>
    <w:rsid w:val="02284E90"/>
    <w:rsid w:val="029D6926"/>
    <w:rsid w:val="03DC2804"/>
    <w:rsid w:val="0565790A"/>
    <w:rsid w:val="05A772A4"/>
    <w:rsid w:val="08307612"/>
    <w:rsid w:val="0BA304CD"/>
    <w:rsid w:val="0D6874BD"/>
    <w:rsid w:val="0D9062E7"/>
    <w:rsid w:val="12F81E26"/>
    <w:rsid w:val="15905ECD"/>
    <w:rsid w:val="16F308A0"/>
    <w:rsid w:val="188E3308"/>
    <w:rsid w:val="1A306160"/>
    <w:rsid w:val="1C5C5DAD"/>
    <w:rsid w:val="1DB60D28"/>
    <w:rsid w:val="1F2729EF"/>
    <w:rsid w:val="1F811484"/>
    <w:rsid w:val="1FE610E1"/>
    <w:rsid w:val="209001EE"/>
    <w:rsid w:val="20AE32A3"/>
    <w:rsid w:val="22094875"/>
    <w:rsid w:val="22852783"/>
    <w:rsid w:val="257C4AE0"/>
    <w:rsid w:val="2691032D"/>
    <w:rsid w:val="26FB3DD6"/>
    <w:rsid w:val="29903CD2"/>
    <w:rsid w:val="2B781529"/>
    <w:rsid w:val="2CD7012E"/>
    <w:rsid w:val="2DB74664"/>
    <w:rsid w:val="2E642840"/>
    <w:rsid w:val="2E7E72B8"/>
    <w:rsid w:val="2F124E7D"/>
    <w:rsid w:val="2FB52B8C"/>
    <w:rsid w:val="2FD3060D"/>
    <w:rsid w:val="30100B24"/>
    <w:rsid w:val="30D41699"/>
    <w:rsid w:val="31EE2784"/>
    <w:rsid w:val="33C7781A"/>
    <w:rsid w:val="387927B5"/>
    <w:rsid w:val="38EF17C5"/>
    <w:rsid w:val="39914DAE"/>
    <w:rsid w:val="3BB559EF"/>
    <w:rsid w:val="3E396404"/>
    <w:rsid w:val="3E8A5D1C"/>
    <w:rsid w:val="3ECC5C74"/>
    <w:rsid w:val="472A5321"/>
    <w:rsid w:val="48056DC3"/>
    <w:rsid w:val="4A8F3A3E"/>
    <w:rsid w:val="4C5E79CE"/>
    <w:rsid w:val="4D3D47C6"/>
    <w:rsid w:val="4F702056"/>
    <w:rsid w:val="4FC10099"/>
    <w:rsid w:val="50C8334B"/>
    <w:rsid w:val="52F259F7"/>
    <w:rsid w:val="536A1A37"/>
    <w:rsid w:val="56E244BA"/>
    <w:rsid w:val="59FF41AD"/>
    <w:rsid w:val="5A742A12"/>
    <w:rsid w:val="5BBE51D8"/>
    <w:rsid w:val="5BBF33CD"/>
    <w:rsid w:val="5BC06F4B"/>
    <w:rsid w:val="5BCE217D"/>
    <w:rsid w:val="5CCF5569"/>
    <w:rsid w:val="5CF91CD9"/>
    <w:rsid w:val="5D914E11"/>
    <w:rsid w:val="5E962EC4"/>
    <w:rsid w:val="5F152507"/>
    <w:rsid w:val="606D3F2E"/>
    <w:rsid w:val="606E48C4"/>
    <w:rsid w:val="62300561"/>
    <w:rsid w:val="63056908"/>
    <w:rsid w:val="66132327"/>
    <w:rsid w:val="694827A3"/>
    <w:rsid w:val="6B227233"/>
    <w:rsid w:val="6D101368"/>
    <w:rsid w:val="6E2D0B6D"/>
    <w:rsid w:val="6F4F642F"/>
    <w:rsid w:val="6F640286"/>
    <w:rsid w:val="71C52037"/>
    <w:rsid w:val="72567CE5"/>
    <w:rsid w:val="73B72808"/>
    <w:rsid w:val="746B0BDA"/>
    <w:rsid w:val="747475CC"/>
    <w:rsid w:val="74FC098E"/>
    <w:rsid w:val="75265254"/>
    <w:rsid w:val="75E87FC7"/>
    <w:rsid w:val="76A46DD1"/>
    <w:rsid w:val="77BC05E7"/>
    <w:rsid w:val="78C018EE"/>
    <w:rsid w:val="78E64AB9"/>
    <w:rsid w:val="7DC040A5"/>
    <w:rsid w:val="7FAE3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font11"/>
    <w:basedOn w:val="7"/>
    <w:qFormat/>
    <w:uiPriority w:val="0"/>
    <w:rPr>
      <w:rFonts w:hint="eastAsia" w:ascii="宋体" w:hAnsi="宋体" w:eastAsia="宋体" w:cs="宋体"/>
      <w:color w:val="000000"/>
      <w:sz w:val="20"/>
      <w:szCs w:val="20"/>
      <w:u w:val="none"/>
    </w:rPr>
  </w:style>
  <w:style w:type="character" w:customStyle="1" w:styleId="9">
    <w:name w:val="font01"/>
    <w:basedOn w:val="7"/>
    <w:qFormat/>
    <w:uiPriority w:val="0"/>
    <w:rPr>
      <w:rFonts w:hint="eastAsia" w:ascii="宋体" w:hAnsi="宋体" w:eastAsia="宋体" w:cs="宋体"/>
      <w:color w:val="000000"/>
      <w:sz w:val="22"/>
      <w:szCs w:val="22"/>
      <w:u w:val="none"/>
    </w:rPr>
  </w:style>
  <w:style w:type="character" w:customStyle="1" w:styleId="10">
    <w:name w:val="font51"/>
    <w:basedOn w:val="7"/>
    <w:qFormat/>
    <w:uiPriority w:val="0"/>
    <w:rPr>
      <w:rFonts w:hint="eastAsia" w:ascii="宋体" w:hAnsi="宋体" w:eastAsia="宋体" w:cs="宋体"/>
      <w:color w:val="000000"/>
      <w:sz w:val="24"/>
      <w:szCs w:val="24"/>
      <w:u w:val="none"/>
    </w:rPr>
  </w:style>
  <w:style w:type="character" w:customStyle="1" w:styleId="11">
    <w:name w:val="font4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6780</Words>
  <Characters>8832</Characters>
  <Lines>0</Lines>
  <Paragraphs>0</Paragraphs>
  <TotalTime>0</TotalTime>
  <ScaleCrop>false</ScaleCrop>
  <LinksUpToDate>false</LinksUpToDate>
  <CharactersWithSpaces>9053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2020-10-27T05:28:00Z</cp:lastPrinted>
  <dcterms:modified xsi:type="dcterms:W3CDTF">2020-12-01T02:50:30Z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