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2018年度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濮阳县地方史志办公室</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pPr>
    </w:p>
    <w:p>
      <w:pPr>
        <w:jc w:val="center"/>
        <w:rPr>
          <w:rFonts w:hint="eastAsia" w:ascii="黑体" w:hAnsi="黑体" w:eastAsia="黑体" w:cs="黑体"/>
          <w:color w:val="auto"/>
          <w:sz w:val="32"/>
          <w:szCs w:val="32"/>
          <w:highlight w:val="none"/>
          <w:lang w:eastAsia="zh-CN"/>
        </w:rPr>
      </w:pPr>
    </w:p>
    <w:p>
      <w:pPr>
        <w:jc w:val="cente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二〇一九年九月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濮阳县地方史志办公室</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濮阳县地方史志办公室</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cs="黑体"/>
          <w:bCs/>
          <w:sz w:val="32"/>
          <w:szCs w:val="32"/>
        </w:rPr>
      </w:pPr>
      <w:r>
        <w:rPr>
          <w:rFonts w:hint="eastAsia" w:ascii="黑体" w:hAnsi="黑体" w:eastAsia="黑体" w:cs="黑体"/>
          <w:color w:val="auto"/>
          <w:kern w:val="0"/>
          <w:sz w:val="32"/>
          <w:szCs w:val="32"/>
          <w:highlight w:val="none"/>
          <w:lang w:val="en-US" w:eastAsia="zh-CN"/>
        </w:rPr>
        <w:t>部门</w:t>
      </w:r>
      <w:r>
        <w:rPr>
          <w:rFonts w:hint="eastAsia" w:ascii="黑体" w:hAnsi="黑体" w:eastAsia="黑体" w:cs="黑体"/>
          <w:bCs/>
          <w:sz w:val="32"/>
          <w:szCs w:val="32"/>
        </w:rPr>
        <w:t>职责</w:t>
      </w:r>
    </w:p>
    <w:p>
      <w:pPr>
        <w:widowControl/>
        <w:wordWrap/>
        <w:adjustRightInd/>
        <w:snapToGrid/>
        <w:spacing w:line="360" w:lineRule="auto"/>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濮阳县地方史志办公室为政府直属事业单位，相当科级。主要职责</w:t>
      </w:r>
      <w:r>
        <w:rPr>
          <w:rFonts w:hint="eastAsia" w:ascii="仿宋" w:hAnsi="仿宋" w:eastAsia="仿宋" w:cs="仿宋"/>
          <w:sz w:val="32"/>
          <w:szCs w:val="32"/>
          <w:lang w:eastAsia="zh-CN"/>
        </w:rPr>
        <w:t>为：</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（一）受县政府委托，制订全县地方史志工作规划及实施意见。</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（二）承担县级志书、综合年鉴的编纂，出版发行任务。</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（三）指导各乡（镇）、县直各单位的志书、年鉴编纂工作。</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（四）收集整理地情资料，为领导决策及全县三大文明建设服务。</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（五）组织开展历史文化研究活动，重点是三皇五帝文化研究，特别是伏羲氏、颛顼帝、尧帝、舜帝文化的研究，为进一步提高濮阳县历史文化品位及知名度，为海内外联谊活动提供科学依据。</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（六）受县委、县政府委托，组织开展姓氏文化研究活动，特别是张姓文化研究、舜帝后裔姓氏文化研究，为海内外华人寻根谒祖提供姓氏资料。</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（七）承担《河南省志》、《河南省年鉴》、《濮阳市志》、《濮阳市年鉴》及其他大型综合性志书的供稿任务。</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（八）负责组织出版地情资料、历史文化研究、姓氏文化研究文集。</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（九）负责整理、校注旧志及考证濮阳古籍历史资料。</w:t>
      </w:r>
    </w:p>
    <w:p>
      <w:pPr>
        <w:widowControl/>
        <w:wordWrap/>
        <w:adjustRightInd/>
        <w:snapToGrid/>
        <w:spacing w:line="360" w:lineRule="auto"/>
        <w:ind w:firstLine="675" w:firstLineChars="21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（十）受县委、县政府委托，编辑出版历史研究学术性刊物，组织开展国内外历史文化研究学术交流。</w:t>
      </w:r>
    </w:p>
    <w:p>
      <w:pPr>
        <w:widowControl/>
        <w:wordWrap/>
        <w:adjustRightInd/>
        <w:snapToGrid/>
        <w:spacing w:line="360" w:lineRule="auto"/>
        <w:ind w:firstLine="358" w:firstLineChars="112"/>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（十一）配合有关部门，搞好海内外华人寻根谒祖及各种联谊活动。</w:t>
      </w:r>
    </w:p>
    <w:p>
      <w:pPr>
        <w:widowControl/>
        <w:wordWrap/>
        <w:adjustRightInd/>
        <w:snapToGrid/>
        <w:spacing w:line="360" w:lineRule="auto"/>
        <w:ind w:firstLine="358" w:firstLineChars="112"/>
        <w:jc w:val="both"/>
        <w:textAlignment w:val="auto"/>
        <w:outlineLvl w:val="9"/>
        <w:rPr>
          <w:rFonts w:hint="eastAsia" w:ascii="宋体" w:hAnsi="宋体"/>
          <w:b/>
          <w:sz w:val="28"/>
          <w:szCs w:val="28"/>
        </w:rPr>
      </w:pPr>
      <w:r>
        <w:rPr>
          <w:rFonts w:hint="eastAsia" w:ascii="仿宋" w:hAnsi="仿宋" w:eastAsia="仿宋" w:cs="仿宋"/>
          <w:sz w:val="32"/>
          <w:szCs w:val="32"/>
        </w:rPr>
        <w:t>（十二）完成县委、县政府交给的其他任务。</w:t>
      </w:r>
    </w:p>
    <w:p>
      <w:pPr>
        <w:numPr>
          <w:ilvl w:val="0"/>
          <w:numId w:val="0"/>
        </w:numPr>
        <w:spacing w:line="0" w:lineRule="atLeast"/>
        <w:jc w:val="both"/>
        <w:rPr>
          <w:rFonts w:hint="eastAsia" w:ascii="仿宋" w:hAnsi="仿宋" w:eastAsia="仿宋"/>
          <w:b/>
          <w:bCs/>
          <w:color w:val="333333"/>
          <w:sz w:val="30"/>
          <w:lang w:eastAsia="zh-CN"/>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濮阳县地方史志办公室内设机构4个，包括：综合股、指导股、编辑室、历史文化研究室。</w:t>
      </w:r>
    </w:p>
    <w:p>
      <w:pPr>
        <w:numPr>
          <w:ilvl w:val="0"/>
          <w:numId w:val="0"/>
        </w:numPr>
        <w:spacing w:line="0" w:lineRule="atLeast"/>
        <w:ind w:firstLine="640" w:firstLineChars="200"/>
        <w:jc w:val="both"/>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纳入本部门2018年度部门决算编制范围的单位共1个，没有下属二级预算单位，本级决算即汇总决算。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ind w:firstLine="960" w:firstLineChars="200"/>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15"/>
        <w:gridCol w:w="570"/>
        <w:gridCol w:w="2250"/>
        <w:gridCol w:w="4215"/>
        <w:gridCol w:w="57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4215" w:type="dxa"/>
            <w:tcBorders>
              <w:top w:val="nil"/>
              <w:left w:val="nil"/>
              <w:bottom w:val="nil"/>
              <w:right w:val="nil"/>
            </w:tcBorders>
            <w:tcMar>
              <w:top w:w="15" w:type="dxa"/>
              <w:left w:w="15" w:type="dxa"/>
              <w:right w:w="15" w:type="dxa"/>
            </w:tcMar>
            <w:vAlign w:val="bottom"/>
          </w:tcPr>
          <w:p>
            <w:pPr>
              <w:rPr>
                <w:rFonts w:hint="eastAsia" w:ascii="Arial" w:hAnsi="Arial" w:cs="Arial"/>
                <w:i w:val="0"/>
                <w:color w:val="auto"/>
                <w:sz w:val="20"/>
                <w:szCs w:val="20"/>
                <w:u w:val="none"/>
                <w:shd w:val="clear" w:color="auto" w:fill="auto"/>
              </w:rPr>
            </w:pPr>
          </w:p>
        </w:tc>
        <w:tc>
          <w:tcPr>
            <w:tcW w:w="57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6465"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r>
              <w:rPr>
                <w:rFonts w:hint="eastAsia" w:ascii="宋体" w:hAnsi="宋体" w:eastAsia="宋体" w:cs="宋体"/>
                <w:i w:val="0"/>
                <w:color w:val="auto"/>
                <w:kern w:val="0"/>
                <w:sz w:val="30"/>
                <w:szCs w:val="30"/>
                <w:u w:val="none"/>
                <w:shd w:val="clear" w:color="auto" w:fill="auto"/>
                <w:lang w:val="en-US" w:eastAsia="zh-CN"/>
              </w:rPr>
              <w:t>收入支出决算总表</w:t>
            </w:r>
          </w:p>
        </w:tc>
        <w:tc>
          <w:tcPr>
            <w:tcW w:w="57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225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215"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57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225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4215"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57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225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4215"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rPr>
              <w:t>部门：濮阳县地方史志办公室</w:t>
            </w:r>
          </w:p>
        </w:tc>
        <w:tc>
          <w:tcPr>
            <w:tcW w:w="57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225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4215"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57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shd w:val="clear" w:color="auto" w:fill="auto"/>
              </w:rPr>
            </w:pPr>
          </w:p>
        </w:tc>
        <w:tc>
          <w:tcPr>
            <w:tcW w:w="225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收入</w:t>
            </w:r>
          </w:p>
        </w:tc>
        <w:tc>
          <w:tcPr>
            <w:tcW w:w="703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项目</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行次</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金额</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项目</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行次</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栏次</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shd w:val="clear" w:color="auto" w:fill="auto"/>
              </w:rPr>
            </w:pP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栏次</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shd w:val="clear" w:color="auto" w:fill="auto"/>
              </w:rPr>
            </w:pP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一、财政拨款收入</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144.08</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一、一般公共服务支出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119.21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二、上级补助收入</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二、外交支出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29</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三、事业收入</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三、国防支出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四、经营收入</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四、公共安全支出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五、附属单位上缴收入</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5</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五、教育支出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32</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六、其他收入</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6</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六、科学技术支出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33</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7</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七、文化体育与传媒支出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八、社会保障和就业支出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35</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9</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九、医疗卫生与计划生育支出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36</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十、节能环保支出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37</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十一、城乡社区支出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12</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十二、农林水支出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39</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13</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十三、交通运输支出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十四、资源勘探信息等支出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15</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十五、商业服务业等支出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42</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16</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十六、金融支出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43</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17</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十七、援助其他地区支出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十八、国土海洋气象等支出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45</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19</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十九、住房保障支出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46</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二十、粮油物资储备支出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47</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二十一、其他支出</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22</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49</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本年收入合计</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23</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144.08</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本年支出合计</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50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用事业基金弥补收支差额</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结余分配</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51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年初结转和结余</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25</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年末结转和结余</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52</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26</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auto"/>
                <w:sz w:val="22"/>
                <w:szCs w:val="22"/>
                <w:u w:val="none"/>
                <w:shd w:val="clear" w:color="auto" w:fill="auto"/>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53</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2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总计</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27</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144.08</w:t>
            </w:r>
          </w:p>
        </w:tc>
        <w:tc>
          <w:tcPr>
            <w:tcW w:w="4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总计</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54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144.08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070"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shd w:val="clear" w:color="auto" w:fill="auto"/>
              </w:rPr>
            </w:pPr>
            <w:r>
              <w:rPr>
                <w:rFonts w:hint="eastAsia" w:ascii="宋体" w:hAnsi="宋体" w:eastAsia="宋体" w:cs="宋体"/>
                <w:i w:val="0"/>
                <w:color w:val="auto"/>
                <w:kern w:val="0"/>
                <w:sz w:val="22"/>
                <w:szCs w:val="22"/>
                <w:u w:val="none"/>
                <w:shd w:val="clear" w:color="auto" w:fill="auto"/>
                <w:lang w:val="en-US" w:eastAsia="zh-CN"/>
              </w:rPr>
              <w:t>注：本表反映部门本年度的总收支和年末结转结余情况。本表金额转换为万元时，因四舍五入可能存在尾差。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pPr w:leftFromText="180" w:rightFromText="180" w:vertAnchor="text" w:horzAnchor="page" w:tblpX="1463" w:tblpY="522"/>
        <w:tblOverlap w:val="never"/>
        <w:tblW w:w="139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0"/>
        <w:gridCol w:w="520"/>
        <w:gridCol w:w="231"/>
        <w:gridCol w:w="2905"/>
        <w:gridCol w:w="1448"/>
        <w:gridCol w:w="1460"/>
        <w:gridCol w:w="1521"/>
        <w:gridCol w:w="1256"/>
        <w:gridCol w:w="1169"/>
        <w:gridCol w:w="1798"/>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570"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52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90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777"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rPr>
              <w:t>收入决算表</w:t>
            </w:r>
          </w:p>
        </w:tc>
        <w:tc>
          <w:tcPr>
            <w:tcW w:w="116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57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2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90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2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5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7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5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4226"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部门：濮阳县地方史志办公室</w:t>
            </w:r>
          </w:p>
        </w:tc>
        <w:tc>
          <w:tcPr>
            <w:tcW w:w="144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2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25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848"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22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44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14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财政拨款收入</w:t>
            </w:r>
          </w:p>
        </w:tc>
        <w:tc>
          <w:tcPr>
            <w:tcW w:w="152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上级补助收入</w:t>
            </w:r>
          </w:p>
        </w:tc>
        <w:tc>
          <w:tcPr>
            <w:tcW w:w="125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事业收入</w:t>
            </w:r>
          </w:p>
        </w:tc>
        <w:tc>
          <w:tcPr>
            <w:tcW w:w="116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经营收入</w:t>
            </w:r>
          </w:p>
        </w:tc>
        <w:tc>
          <w:tcPr>
            <w:tcW w:w="179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附属单位上缴收入</w:t>
            </w:r>
          </w:p>
        </w:tc>
        <w:tc>
          <w:tcPr>
            <w:tcW w:w="10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290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44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0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0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9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226"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226"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144.08</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144.08</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一般公共服务支出</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119.21</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119.21</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20103</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政府办公厅（室）及相关机构事务</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119.21</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119.21</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2010301</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102.21</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102.21</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2010302</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一般行政管理事务</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17.00</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17.00</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21.80</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21.80</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行政事业单位离退休</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15.56</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15.56</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2080505</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机关事业单位基本养老保险缴费支出</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10.19</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10.19</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2080599</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其他行政事业单位离退休支出</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5.37</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5.37</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抚恤</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2080801</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死亡抚恤</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医疗卫生与计划生育支出</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2101102</w:t>
            </w:r>
          </w:p>
        </w:tc>
        <w:tc>
          <w:tcPr>
            <w:tcW w:w="290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事业单位医疗</w:t>
            </w:r>
          </w:p>
        </w:tc>
        <w:tc>
          <w:tcPr>
            <w:tcW w:w="144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4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5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2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16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0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3928"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4"/>
        <w:tblpPr w:leftFromText="180" w:rightFromText="180" w:vertAnchor="text" w:horzAnchor="page" w:tblpX="1538" w:tblpY="162"/>
        <w:tblOverlap w:val="never"/>
        <w:tblW w:w="13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02"/>
        <w:gridCol w:w="427"/>
        <w:gridCol w:w="223"/>
        <w:gridCol w:w="2881"/>
        <w:gridCol w:w="1494"/>
        <w:gridCol w:w="1459"/>
        <w:gridCol w:w="1367"/>
        <w:gridCol w:w="1482"/>
        <w:gridCol w:w="154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602"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42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88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9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826"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rPr>
              <w:t>支出决算表</w:t>
            </w:r>
          </w:p>
        </w:tc>
        <w:tc>
          <w:tcPr>
            <w:tcW w:w="148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160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2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88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9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5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6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8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5133"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部门：濮阳县地方史志办公室</w:t>
            </w:r>
          </w:p>
        </w:tc>
        <w:tc>
          <w:tcPr>
            <w:tcW w:w="149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5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6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8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13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49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145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36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4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上缴上级支出</w:t>
            </w:r>
          </w:p>
        </w:tc>
        <w:tc>
          <w:tcPr>
            <w:tcW w:w="15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经营支出</w:t>
            </w:r>
          </w:p>
        </w:tc>
        <w:tc>
          <w:tcPr>
            <w:tcW w:w="132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28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4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13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513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144.08</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127.08</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17.00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一般公共服务支出</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119.21</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102.21</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20103</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政府办公厅（室）及相关机构事务</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119.21</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102.21</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2010301</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102.21</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102.21</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2010302</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一般行政管理事务</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17.00</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21.80</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21.80</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行政事业单位离退休</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15.56</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15.56</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2080505</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机关事业单位基本养老保险缴费支出</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10.19</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10.19</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2080599</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其他行政事业单位离退休支出</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5.37</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5.37</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抚恤</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2080801</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死亡抚恤</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医疗卫生与计划生育支出</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22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2101102</w:t>
            </w:r>
          </w:p>
        </w:tc>
        <w:tc>
          <w:tcPr>
            <w:tcW w:w="288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事业单位医疗</w:t>
            </w:r>
          </w:p>
        </w:tc>
        <w:tc>
          <w:tcPr>
            <w:tcW w:w="149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36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4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4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13795"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4"/>
        <w:tblW w:w="141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66"/>
        <w:gridCol w:w="552"/>
        <w:gridCol w:w="1626"/>
        <w:gridCol w:w="3267"/>
        <w:gridCol w:w="552"/>
        <w:gridCol w:w="1626"/>
        <w:gridCol w:w="1626"/>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3266"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55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445" w:type="dxa"/>
            <w:gridSpan w:val="3"/>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rPr>
              <w:t>财政拨款收入支出决算总表</w:t>
            </w: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326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5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26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5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3266"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部门：濮阳县地方史志办公室</w:t>
            </w:r>
          </w:p>
        </w:tc>
        <w:tc>
          <w:tcPr>
            <w:tcW w:w="55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26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5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26"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54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收     入</w:t>
            </w:r>
          </w:p>
        </w:tc>
        <w:tc>
          <w:tcPr>
            <w:tcW w:w="8697"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326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55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6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c>
          <w:tcPr>
            <w:tcW w:w="32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55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6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6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一般公共预算财政拨款</w:t>
            </w:r>
          </w:p>
        </w:tc>
        <w:tc>
          <w:tcPr>
            <w:tcW w:w="16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trPr>
        <w:tc>
          <w:tcPr>
            <w:tcW w:w="326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144.08</w:t>
            </w: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一、一般公共服务支出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119.21</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119.21</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二、外交支出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三、国防支出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四、公共安全支出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五、教育支出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六、科学技术支出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七、文化体育与传媒支出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八、社会保障和就业支出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21.80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21.80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九、医疗卫生与计划生育支出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十、节能环保支出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十一、城乡社区支出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十四、资源勘探信息等支出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十八、国土海洋气象等支出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二十一、其他支出</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144.08</w:t>
            </w: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144.08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144.08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年初财政拨款结转和结余</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年末财政拨款结转和结余</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一般公共预算财政拨款</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政府性基金预算财政拨款</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326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144.08</w:t>
            </w:r>
          </w:p>
        </w:tc>
        <w:tc>
          <w:tcPr>
            <w:tcW w:w="3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144.08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144.08</w:t>
            </w:r>
          </w:p>
        </w:tc>
        <w:tc>
          <w:tcPr>
            <w:tcW w:w="162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1" w:hRule="atLeast"/>
        </w:trPr>
        <w:tc>
          <w:tcPr>
            <w:tcW w:w="14141"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注：本表反映部门本年度一般公共预算财政拨款和政府性基金预算财政拨款的总收支和年末结转结余情况。本表金额转换为万元时，因四舍五入可能存在尾差。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30"/>
        <w:gridCol w:w="330"/>
        <w:gridCol w:w="330"/>
        <w:gridCol w:w="3930"/>
        <w:gridCol w:w="2250"/>
        <w:gridCol w:w="225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630" w:type="dxa"/>
            <w:tcBorders>
              <w:top w:val="nil"/>
              <w:left w:val="nil"/>
              <w:bottom w:val="nil"/>
              <w:right w:val="nil"/>
            </w:tcBorders>
            <w:tcMar>
              <w:top w:w="15" w:type="dxa"/>
              <w:left w:w="15" w:type="dxa"/>
              <w:right w:w="15" w:type="dxa"/>
            </w:tcMar>
            <w:vAlign w:val="bottom"/>
          </w:tcPr>
          <w:p>
            <w:pPr>
              <w:rPr>
                <w:rFonts w:hint="eastAsia" w:ascii="Arial" w:hAnsi="Arial" w:cs="Arial"/>
                <w:i w:val="0"/>
                <w:color w:val="auto"/>
                <w:sz w:val="20"/>
                <w:szCs w:val="20"/>
                <w:u w:val="none"/>
              </w:rPr>
            </w:pPr>
          </w:p>
        </w:tc>
        <w:tc>
          <w:tcPr>
            <w:tcW w:w="3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3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8430" w:type="dxa"/>
            <w:gridSpan w:val="3"/>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r>
              <w:rPr>
                <w:rFonts w:hint="eastAsia" w:ascii="宋体" w:hAnsi="宋体" w:eastAsia="宋体" w:cs="宋体"/>
                <w:i w:val="0"/>
                <w:color w:val="auto"/>
                <w:kern w:val="0"/>
                <w:sz w:val="30"/>
                <w:szCs w:val="30"/>
                <w:u w:val="none"/>
                <w:lang w:val="en-US" w:eastAsia="zh-CN"/>
              </w:rPr>
              <w:t>一般公共预算财政拨款支出决算表</w:t>
            </w:r>
          </w:p>
        </w:tc>
        <w:tc>
          <w:tcPr>
            <w:tcW w:w="225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6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3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3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39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225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225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225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630"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部门：濮阳县地方史志办公室</w:t>
            </w:r>
          </w:p>
        </w:tc>
        <w:tc>
          <w:tcPr>
            <w:tcW w:w="3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3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393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225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2250" w:type="dxa"/>
            <w:tcBorders>
              <w:top w:val="nil"/>
              <w:left w:val="nil"/>
              <w:bottom w:val="nil"/>
              <w:right w:val="nil"/>
            </w:tcBorders>
            <w:tcMar>
              <w:top w:w="15" w:type="dxa"/>
              <w:left w:w="15" w:type="dxa"/>
              <w:right w:w="15" w:type="dxa"/>
            </w:tcMar>
            <w:vAlign w:val="bottom"/>
          </w:tcPr>
          <w:p>
            <w:pPr>
              <w:rPr>
                <w:rFonts w:hint="default" w:ascii="Arial" w:hAnsi="Arial" w:cs="Arial"/>
                <w:i w:val="0"/>
                <w:color w:val="auto"/>
                <w:sz w:val="20"/>
                <w:szCs w:val="20"/>
                <w:u w:val="none"/>
              </w:rPr>
            </w:pPr>
          </w:p>
        </w:tc>
        <w:tc>
          <w:tcPr>
            <w:tcW w:w="225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22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项目</w:t>
            </w:r>
          </w:p>
        </w:tc>
        <w:tc>
          <w:tcPr>
            <w:tcW w:w="67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功能分类科目编码</w:t>
            </w:r>
          </w:p>
        </w:tc>
        <w:tc>
          <w:tcPr>
            <w:tcW w:w="393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科目名称</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小计</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基本支出</w:t>
            </w:r>
          </w:p>
        </w:tc>
        <w:tc>
          <w:tcPr>
            <w:tcW w:w="22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32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39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22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22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栏次</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22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合计</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144.08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127.08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201</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一般公共服务支出</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119.21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102.21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20103</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政府办公厅（室）及相关机构事务</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119.21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102.21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2010301</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 xml:space="preserve">  行政运行</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102.21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102.21</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2010302</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 xml:space="preserve">  一般行政管理事务</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17.00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208</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社会保障和就业支出</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21.80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21.80</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20805</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行政事业单位离退休</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15.56</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15.56</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2080505</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 xml:space="preserve">  机关事业单位基本养老保险缴费支出</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10.19</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10.19</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2080599</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 xml:space="preserve">  其他行政事业单位离退休支出</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5.37</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5.37</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20808</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抚恤</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6.24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6.24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2080801</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 xml:space="preserve">  死亡抚恤</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6.24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6.24</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210</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医疗卫生与计划生育支出</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3.08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3.08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21011</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行政事业单位医疗</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3.08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3.08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2101102</w:t>
            </w:r>
          </w:p>
        </w:tc>
        <w:tc>
          <w:tcPr>
            <w:tcW w:w="393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 xml:space="preserve">  事业单位医疗</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3.08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3.08</w:t>
            </w:r>
          </w:p>
        </w:tc>
        <w:tc>
          <w:tcPr>
            <w:tcW w:w="225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970" w:type="dxa"/>
            <w:gridSpan w:val="7"/>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注：本表反映部门本年度一般公共预算财政拨款支出情况。本表金额转换为万元时，因四舍五入可能存在尾差。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42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7"/>
        <w:gridCol w:w="2346"/>
        <w:gridCol w:w="1614"/>
        <w:gridCol w:w="825"/>
        <w:gridCol w:w="2280"/>
        <w:gridCol w:w="1335"/>
        <w:gridCol w:w="1560"/>
        <w:gridCol w:w="240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1" w:hRule="atLeast"/>
        </w:trPr>
        <w:tc>
          <w:tcPr>
            <w:tcW w:w="847"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234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054"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rPr>
              <w:t>一般公共预算财政拨款基本支出决算表</w:t>
            </w:r>
          </w:p>
        </w:tc>
        <w:tc>
          <w:tcPr>
            <w:tcW w:w="15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4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trPr>
        <w:tc>
          <w:tcPr>
            <w:tcW w:w="8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4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1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4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8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3193"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部门：濮阳县地方史志办公室</w:t>
            </w:r>
          </w:p>
        </w:tc>
        <w:tc>
          <w:tcPr>
            <w:tcW w:w="161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8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3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6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48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480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w:t>
            </w:r>
          </w:p>
        </w:tc>
        <w:tc>
          <w:tcPr>
            <w:tcW w:w="9480"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84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23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61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8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228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33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1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240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08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84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1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工资福利支出</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103.09</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商品和服务支出</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12.38</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债务利息及费用支出</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30101</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基本工资</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70.96</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30201</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1.41</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国内债务付息</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30102</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津贴补贴</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30202</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印刷费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3.54</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国外债务付息</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30103</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奖金</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12.88</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30203</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咨询费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资本性支出</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30106</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伙食补助费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30204</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手续费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房屋建筑物购建</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30107</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绩效工资</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5.98</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30205</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水费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办公设备购置</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30108</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10.19</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30206</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电费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专用设备购置</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30109</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职业年金缴费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30207</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邮电费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0.28</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31005</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基础设施建设</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30110</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职工基本医疗保险缴费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30208</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取暖费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大型修缮</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30111</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公务员医疗补助缴费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30209</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物业管理费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信息网络及软件购置更新</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30112</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其他社会保障缴费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3.08</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30211</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差旅费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1.27</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物资储备</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30113</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住房公积金</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30212</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因公出国（境）费用</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土地补偿</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30114</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30213</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维修（护）费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31010</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安置补助</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30199</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其他工资福利支出</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30214</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租赁费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地上附着物和青苗补偿</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对个人和家庭的补助</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11.61</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30215</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会议费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拆迁补偿</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30301</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离休费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30216</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培训费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31013</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公务用车购置</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30302</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退休费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30217</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公务接待费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其他交通工具购置</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30303</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退职（役）费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30218</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专用材料费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31021</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文物和陈列品购置</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30304</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抚恤金</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6.24</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30224</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被装购置费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31022</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无形资产购置</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30305</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生活补助</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4.96</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30225</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专用燃料费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31099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其他资本性支出</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30306</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救济费</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30226</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劳务费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其他支出</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30307</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医疗费补助</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30227</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委托业务费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39906</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赠与</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30308</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助学金</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30228</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工会经费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39907</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国家赔偿费用支出</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30309</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奖励金</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30229</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福利费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39908</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对民间非营利组织和群众性自治组织补贴</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30310</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个人农业生产补贴</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30231</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公务用车运行维护费</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39999</w:t>
            </w: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其他支出</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30399</w:t>
            </w: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其他对个人和家庭的补助支出</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0.41</w:t>
            </w: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30239</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其他交通费用</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5.88</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30240</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税金及附加费用</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84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30299</w:t>
            </w:r>
          </w:p>
        </w:tc>
        <w:tc>
          <w:tcPr>
            <w:tcW w:w="228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其他商品和服务支出</w:t>
            </w:r>
          </w:p>
        </w:tc>
        <w:tc>
          <w:tcPr>
            <w:tcW w:w="133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15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0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319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人员经费合计</w:t>
            </w:r>
          </w:p>
        </w:tc>
        <w:tc>
          <w:tcPr>
            <w:tcW w:w="161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114.70</w:t>
            </w:r>
          </w:p>
        </w:tc>
        <w:tc>
          <w:tcPr>
            <w:tcW w:w="840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公用经费合计</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14287"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90"/>
        <w:gridCol w:w="1484"/>
        <w:gridCol w:w="1574"/>
        <w:gridCol w:w="1073"/>
        <w:gridCol w:w="1073"/>
        <w:gridCol w:w="1073"/>
        <w:gridCol w:w="1073"/>
        <w:gridCol w:w="1073"/>
        <w:gridCol w:w="1073"/>
        <w:gridCol w:w="1073"/>
        <w:gridCol w:w="1073"/>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atLeast"/>
        </w:trPr>
        <w:tc>
          <w:tcPr>
            <w:tcW w:w="1090"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10569" w:type="dxa"/>
            <w:gridSpan w:val="9"/>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rPr>
              <w:t>一般公共预算财政拨款“三公”经费支出决算表</w:t>
            </w: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8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109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8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7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88"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2574"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部门：濮阳县地方史志办公室</w:t>
            </w:r>
          </w:p>
        </w:tc>
        <w:tc>
          <w:tcPr>
            <w:tcW w:w="157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7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161"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7367" w:type="dxa"/>
            <w:gridSpan w:val="6"/>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预算数</w:t>
            </w:r>
          </w:p>
        </w:tc>
        <w:tc>
          <w:tcPr>
            <w:tcW w:w="6453" w:type="dxa"/>
            <w:gridSpan w:val="6"/>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1090" w:type="dxa"/>
            <w:vMerge w:val="restart"/>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484"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3720" w:type="dxa"/>
            <w:gridSpan w:val="3"/>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1073"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c>
          <w:tcPr>
            <w:tcW w:w="1073"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073"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3219" w:type="dxa"/>
            <w:gridSpan w:val="3"/>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1088"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2" w:hRule="atLeast"/>
        </w:trPr>
        <w:tc>
          <w:tcPr>
            <w:tcW w:w="1090" w:type="dxa"/>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4"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4"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1073"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1088"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1090" w:type="dxa"/>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484"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574"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073"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088"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10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7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7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2" w:hRule="atLeast"/>
        </w:trPr>
        <w:tc>
          <w:tcPr>
            <w:tcW w:w="13820"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9"/>
        <w:gridCol w:w="258"/>
        <w:gridCol w:w="257"/>
        <w:gridCol w:w="2081"/>
        <w:gridCol w:w="2291"/>
        <w:gridCol w:w="1309"/>
        <w:gridCol w:w="1308"/>
        <w:gridCol w:w="1"/>
        <w:gridCol w:w="1308"/>
        <w:gridCol w:w="1"/>
        <w:gridCol w:w="1308"/>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trPr>
        <w:tc>
          <w:tcPr>
            <w:tcW w:w="2049"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2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5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298" w:type="dxa"/>
            <w:gridSpan w:val="6"/>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rPr>
              <w:t>政府性基金预算财政拨款收入支出决算表</w:t>
            </w:r>
          </w:p>
        </w:tc>
        <w:tc>
          <w:tcPr>
            <w:tcW w:w="1309"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204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5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8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29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4645"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部门：濮阳县地方史志办公室</w:t>
            </w:r>
          </w:p>
        </w:tc>
        <w:tc>
          <w:tcPr>
            <w:tcW w:w="229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09"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464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229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130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w:t>
            </w:r>
          </w:p>
        </w:tc>
        <w:tc>
          <w:tcPr>
            <w:tcW w:w="3926"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c>
          <w:tcPr>
            <w:tcW w:w="130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256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208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229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30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30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256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256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8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4645"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229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3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4645"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22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256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8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9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3480"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注：本表反映部门本年度政府性基金预算财政拨款收入、支出及结转和结余情况。本表金额转换为万元时，因四舍五入可能存在尾差。</w:t>
            </w:r>
          </w:p>
        </w:tc>
      </w:tr>
    </w:tbl>
    <w:p>
      <w:pPr>
        <w:shd w:val="clear" w:color="000000" w:fill="auto"/>
        <w:jc w:val="both"/>
        <w:outlineLvl w:val="9"/>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部门决算情况说明</w:t>
      </w: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2018年度收、支总计均为144.08万元。与上年度相比，收、支总计各减少10.91万元，下降7.03%。主要原因是本年度内人员退休，人员经费支出减少。</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widowControl/>
        <w:wordWrap/>
        <w:adjustRightInd/>
        <w:snapToGrid/>
        <w:spacing w:line="590" w:lineRule="exact"/>
        <w:ind w:left="0" w:leftChars="0" w:right="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2018年度收入合计144.08万元，其中：财政拨款收入144.08万元，占100%。</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2018年度支出合计144.08万元，其中：基本支出127.08万元，占88.2%；项目支出17万元，占11.7%。</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2018年度财政拨款收、支总计均为144.08万元。与上年度相比，财政拨款收、支总计各减少10.91万元，下降7.03%。主要原因是本年度内人员退休，人员经费支出减少。</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widowControl/>
        <w:wordWrap/>
        <w:adjustRightInd/>
        <w:snapToGrid/>
        <w:spacing w:line="59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2018年度一般公共预算财政拨款支出144.08万元，占本年支出合计的100%。与上年度相比，一般公共预算财政拨款支出减少10.91万元，下降7.03%。主要原因是本年度内人员退休，人员经费支出减少。</w:t>
      </w:r>
    </w:p>
    <w:p>
      <w:pPr>
        <w:widowControl/>
        <w:wordWrap/>
        <w:adjustRightInd/>
        <w:snapToGrid/>
        <w:spacing w:line="59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2018年度一般公共预算财政拨款支出144.08万元，主要用于以下方面：一般公共服务（类）支出119.21万元，占82.74%；社会保障和就业支出21.80万元，占15.13%；医疗卫生与计划生育支出3.08万元，占2.13%。</w:t>
      </w:r>
    </w:p>
    <w:p>
      <w:pPr>
        <w:widowControl/>
        <w:wordWrap/>
        <w:adjustRightInd/>
        <w:snapToGrid/>
        <w:spacing w:line="59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2018年度一般公共预算财政拨款支出年初预算为144.08万元，支出决算为144.08万元，完成年初预算的100%。其中：</w:t>
      </w:r>
    </w:p>
    <w:p>
      <w:pPr>
        <w:numPr>
          <w:ilvl w:val="0"/>
          <w:numId w:val="3"/>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一般公共服务（类）政府办公厅（室）及相关机构事务（款）行政运行（项）。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102.21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102.21</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numPr>
          <w:ilvl w:val="0"/>
          <w:numId w:val="3"/>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一般公共服务（类）政府办公厅（室）及相关机构事务（款）</w:t>
      </w:r>
      <w:r>
        <w:rPr>
          <w:rFonts w:hint="eastAsia" w:ascii="仿宋" w:hAnsi="仿宋" w:eastAsia="仿宋" w:cs="仿宋"/>
          <w:b/>
          <w:bCs/>
          <w:sz w:val="32"/>
          <w:szCs w:val="32"/>
          <w:lang w:eastAsia="zh-CN"/>
        </w:rPr>
        <w:t>一般行政管理事务</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年初预算为</w:t>
      </w:r>
      <w:r>
        <w:rPr>
          <w:rFonts w:hint="eastAsia" w:ascii="仿宋" w:hAnsi="仿宋" w:eastAsia="仿宋" w:cs="仿宋"/>
          <w:b w:val="0"/>
          <w:bCs w:val="0"/>
          <w:sz w:val="32"/>
          <w:szCs w:val="32"/>
          <w:lang w:val="en-US" w:eastAsia="zh-CN"/>
        </w:rPr>
        <w:t>17万元，支出决算为17万元，完成年初预算的100%。</w:t>
      </w:r>
    </w:p>
    <w:p>
      <w:pPr>
        <w:numPr>
          <w:ilvl w:val="0"/>
          <w:numId w:val="0"/>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（类）行政事业单位离退休（款）</w:t>
      </w:r>
      <w:r>
        <w:rPr>
          <w:rFonts w:hint="eastAsia" w:ascii="仿宋" w:hAnsi="仿宋" w:eastAsia="仿宋" w:cs="仿宋"/>
          <w:b/>
          <w:bCs/>
          <w:sz w:val="32"/>
          <w:szCs w:val="32"/>
          <w:lang w:eastAsia="zh-CN"/>
        </w:rPr>
        <w:t>机关事业单位基本养老保险缴费支出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10.19万元，支出决算数为10.19万元，完成年初预算的100%。</w:t>
      </w:r>
    </w:p>
    <w:p>
      <w:pPr>
        <w:numPr>
          <w:ilvl w:val="0"/>
          <w:numId w:val="0"/>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（类）行政事业单位离退休（款）</w:t>
      </w:r>
      <w:r>
        <w:rPr>
          <w:rFonts w:hint="eastAsia" w:ascii="仿宋" w:hAnsi="仿宋" w:eastAsia="仿宋" w:cs="仿宋"/>
          <w:b/>
          <w:bCs/>
          <w:sz w:val="32"/>
          <w:szCs w:val="32"/>
          <w:lang w:eastAsia="zh-CN"/>
        </w:rPr>
        <w:t>其他行政事业单位离退支出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5.37万元，支出决算数为5.37万元，完成年初预算的100%。</w:t>
      </w:r>
    </w:p>
    <w:p>
      <w:pPr>
        <w:numPr>
          <w:ilvl w:val="0"/>
          <w:numId w:val="0"/>
        </w:numPr>
        <w:adjustRightInd w:val="0"/>
        <w:snapToGrid w:val="0"/>
        <w:spacing w:line="360" w:lineRule="auto"/>
        <w:ind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（类</w:t>
      </w:r>
      <w:r>
        <w:rPr>
          <w:rFonts w:hint="eastAsia" w:ascii="仿宋" w:hAnsi="仿宋" w:eastAsia="仿宋" w:cs="仿宋"/>
          <w:b/>
          <w:bCs/>
          <w:sz w:val="32"/>
          <w:szCs w:val="32"/>
          <w:lang w:eastAsia="zh-CN"/>
        </w:rPr>
        <w:t>）抚恤</w:t>
      </w:r>
      <w:r>
        <w:rPr>
          <w:rFonts w:hint="eastAsia" w:ascii="仿宋" w:hAnsi="仿宋" w:eastAsia="仿宋" w:cs="仿宋"/>
          <w:b/>
          <w:bCs/>
          <w:sz w:val="32"/>
          <w:szCs w:val="32"/>
        </w:rPr>
        <w:t>（款</w:t>
      </w:r>
      <w:r>
        <w:rPr>
          <w:rFonts w:hint="eastAsia" w:ascii="仿宋" w:hAnsi="仿宋" w:eastAsia="仿宋" w:cs="仿宋"/>
          <w:b/>
          <w:bCs/>
          <w:sz w:val="32"/>
          <w:szCs w:val="32"/>
          <w:lang w:eastAsia="zh-CN"/>
        </w:rPr>
        <w:t>）死亡抚恤</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6.24万元，支出决算数为6.24万元，完成年初预算的100%。</w:t>
      </w:r>
    </w:p>
    <w:p>
      <w:pPr>
        <w:numPr>
          <w:ilvl w:val="0"/>
          <w:numId w:val="0"/>
        </w:numPr>
        <w:adjustRightInd w:val="0"/>
        <w:snapToGrid w:val="0"/>
        <w:spacing w:line="360" w:lineRule="auto"/>
        <w:ind w:firstLine="643" w:firstLineChars="200"/>
        <w:jc w:val="both"/>
        <w:rPr>
          <w:rFonts w:hint="eastAsia" w:ascii="宋体" w:hAnsi="宋体" w:eastAsia="宋体" w:cs="宋体"/>
          <w:b w:val="0"/>
          <w:bCs w:val="0"/>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lang w:eastAsia="zh-CN"/>
        </w:rPr>
        <w:t>医疗卫生与计划生育支出</w:t>
      </w:r>
      <w:r>
        <w:rPr>
          <w:rFonts w:hint="eastAsia" w:ascii="仿宋" w:hAnsi="仿宋" w:eastAsia="仿宋" w:cs="仿宋"/>
          <w:b/>
          <w:bCs/>
          <w:sz w:val="32"/>
          <w:szCs w:val="32"/>
        </w:rPr>
        <w:t>（类）行政事业单位医疗（款</w:t>
      </w:r>
      <w:r>
        <w:rPr>
          <w:rFonts w:hint="eastAsia" w:ascii="仿宋" w:hAnsi="仿宋" w:eastAsia="仿宋" w:cs="仿宋"/>
          <w:b/>
          <w:bCs/>
          <w:sz w:val="32"/>
          <w:szCs w:val="32"/>
          <w:lang w:eastAsia="zh-CN"/>
        </w:rPr>
        <w:t>） 事业单位医疗</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3.08万元，支出决算数为3.08万元</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完成年初预算的100%。</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基本支出127.08万元。其中：人员经费114.07万元，主要包括：基本工资、津贴补贴、奖金、绩效工资、机关事业单位基本养老保险缴费、职业年金缴费、职工基本医疗保险缴费、公务员医疗补助缴费、其他社会保障缴费、住房公积金、医疗费、其他工资福利支出、退休费、抚恤金、生活补助、其他对个人和家庭的补助支出；公用经费12.38万元，主要包括：办公费、印刷费、邮电费、、差旅费、培训费、劳务费、委托业务费、工会经费、福利费、其他交通费用、税金及附加费用、其他商品和服务支出。</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widowControl/>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2018年度“三公”经费财政拨款支出预算为0万元，支出决算为0万元。2018 年度“三公”经费我单位严格执行中央八项规定相关精神，公务接待次数和费用控制在零接待零支出。</w:t>
      </w:r>
    </w:p>
    <w:p>
      <w:pPr>
        <w:widowControl/>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2018年度“三公”经费财政拨款支出决算中，因公出国（境）费支出决算0万元；公务用车购置及运行费支出决算0万元；公务接待费支出决算0万元。具体情况如下：</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w:t>
      </w:r>
    </w:p>
    <w:p>
      <w:pPr>
        <w:widowControl/>
        <w:numPr>
          <w:ilvl w:val="0"/>
          <w:numId w:val="0"/>
        </w:numPr>
        <w:wordWrap/>
        <w:adjustRightInd/>
        <w:snapToGrid/>
        <w:spacing w:line="590" w:lineRule="exact"/>
        <w:ind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widowControl/>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 年，按照全面推进预算绩效管理的要求，依法有效得合理使用财政资金，严格的执行财政收支预算，提高了资金使用效率。</w:t>
      </w:r>
    </w:p>
    <w:p>
      <w:pPr>
        <w:widowControl/>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widowControl/>
        <w:wordWrap/>
        <w:adjustRightInd/>
        <w:snapToGrid/>
        <w:spacing w:line="59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2018年，我单位实行项目绩效管理，主要开展了《濮阳县年鉴》编纂和《濮阳县大事月报》编辑发行，严格贯彻落实财政部门有关项目绩效管理要求，合理使用项目资金，推进了年鉴和大事月报工作的顺利开展，圆满完成省市史志部门工作要求，取得了良好的社会效果。</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widowControl/>
        <w:wordWrap/>
        <w:adjustRightInd/>
        <w:snapToGrid/>
        <w:spacing w:line="590" w:lineRule="exact"/>
        <w:ind w:left="0" w:leftChars="0" w:right="0" w:firstLine="640" w:firstLineChars="200"/>
        <w:jc w:val="both"/>
        <w:textAlignment w:val="auto"/>
        <w:outlineLvl w:val="1"/>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年度政府性基金预算财政拨款支出年初预算0.00</w:t>
      </w:r>
      <w:r>
        <w:rPr>
          <w:rFonts w:hint="eastAsia" w:ascii="仿宋" w:hAnsi="仿宋" w:eastAsia="仿宋" w:cs="仿宋"/>
          <w:spacing w:val="-83"/>
          <w:sz w:val="32"/>
          <w:szCs w:val="32"/>
        </w:rPr>
        <w:t xml:space="preserve"> </w:t>
      </w:r>
      <w:r>
        <w:rPr>
          <w:rFonts w:hint="eastAsia" w:ascii="仿宋" w:hAnsi="仿宋" w:eastAsia="仿宋" w:cs="仿宋"/>
          <w:sz w:val="32"/>
          <w:szCs w:val="32"/>
        </w:rPr>
        <w:t>万元</w:t>
      </w:r>
      <w:r>
        <w:rPr>
          <w:rFonts w:hint="eastAsia" w:ascii="仿宋" w:hAnsi="仿宋" w:eastAsia="仿宋" w:cs="仿宋"/>
          <w:spacing w:val="-48"/>
          <w:sz w:val="32"/>
          <w:szCs w:val="32"/>
        </w:rPr>
        <w:t>，</w:t>
      </w:r>
      <w:r>
        <w:rPr>
          <w:rFonts w:hint="eastAsia" w:ascii="仿宋" w:hAnsi="仿宋" w:eastAsia="仿宋" w:cs="仿宋"/>
          <w:sz w:val="32"/>
          <w:szCs w:val="32"/>
        </w:rPr>
        <w:t>支出决算为</w:t>
      </w:r>
      <w:r>
        <w:rPr>
          <w:rFonts w:hint="eastAsia" w:ascii="仿宋" w:hAnsi="仿宋" w:eastAsia="仿宋" w:cs="仿宋"/>
          <w:spacing w:val="-2"/>
          <w:sz w:val="32"/>
          <w:szCs w:val="32"/>
        </w:rPr>
        <w:t xml:space="preserve"> </w:t>
      </w:r>
      <w:r>
        <w:rPr>
          <w:rFonts w:hint="eastAsia" w:ascii="仿宋" w:hAnsi="仿宋" w:eastAsia="仿宋" w:cs="仿宋"/>
          <w:sz w:val="32"/>
          <w:szCs w:val="32"/>
        </w:rPr>
        <w:t>0.00</w:t>
      </w:r>
      <w:r>
        <w:rPr>
          <w:rFonts w:hint="eastAsia" w:ascii="仿宋" w:hAnsi="仿宋" w:eastAsia="仿宋" w:cs="仿宋"/>
          <w:spacing w:val="-83"/>
          <w:sz w:val="32"/>
          <w:szCs w:val="32"/>
        </w:rPr>
        <w:t xml:space="preserve"> </w:t>
      </w:r>
      <w:r>
        <w:rPr>
          <w:rFonts w:hint="eastAsia" w:ascii="仿宋" w:hAnsi="仿宋" w:eastAsia="仿宋" w:cs="仿宋"/>
          <w:sz w:val="32"/>
          <w:szCs w:val="32"/>
        </w:rPr>
        <w:t>万元</w:t>
      </w:r>
      <w:r>
        <w:rPr>
          <w:rFonts w:hint="eastAsia" w:ascii="仿宋" w:hAnsi="仿宋" w:eastAsia="仿宋" w:cs="仿宋"/>
          <w:spacing w:val="-46"/>
          <w:sz w:val="32"/>
          <w:szCs w:val="32"/>
        </w:rPr>
        <w:t>，</w:t>
      </w:r>
      <w:r>
        <w:rPr>
          <w:rFonts w:hint="eastAsia" w:ascii="仿宋" w:hAnsi="仿宋" w:eastAsia="仿宋" w:cs="仿宋"/>
          <w:sz w:val="32"/>
          <w:szCs w:val="32"/>
        </w:rPr>
        <w:t>完成年初预算的</w:t>
      </w:r>
      <w:r>
        <w:rPr>
          <w:rFonts w:hint="eastAsia" w:ascii="仿宋" w:hAnsi="仿宋" w:eastAsia="仿宋" w:cs="仿宋"/>
          <w:spacing w:val="-81"/>
          <w:sz w:val="32"/>
          <w:szCs w:val="32"/>
        </w:rPr>
        <w:t xml:space="preserve"> </w:t>
      </w:r>
      <w:r>
        <w:rPr>
          <w:rFonts w:hint="eastAsia" w:ascii="仿宋" w:hAnsi="仿宋" w:eastAsia="仿宋" w:cs="仿宋"/>
          <w:spacing w:val="2"/>
          <w:sz w:val="32"/>
          <w:szCs w:val="32"/>
        </w:rPr>
        <w:t>0.00</w:t>
      </w:r>
      <w:r>
        <w:rPr>
          <w:rFonts w:hint="eastAsia" w:ascii="仿宋" w:hAnsi="仿宋" w:eastAsia="仿宋" w:cs="仿宋"/>
          <w:spacing w:val="11"/>
          <w:w w:val="99"/>
          <w:sz w:val="32"/>
          <w:szCs w:val="32"/>
        </w:rPr>
        <w:pict>
          <v:shape id="_x0000_i1025" o:spt="75" type="#_x0000_t75" style="height:12.2pt;width:6.7pt;" filled="f" o:preferrelative="t" stroked="f" coordsize="21600,21600">
            <v:path/>
            <v:fill on="f" focussize="0,0"/>
            <v:stroke on="f"/>
            <v:imagedata r:id="rId6" o:title=""/>
            <o:lock v:ext="edit" aspectratio="t"/>
            <w10:wrap type="none"/>
            <w10:anchorlock/>
          </v:shape>
        </w:pict>
      </w:r>
      <w:r>
        <w:rPr>
          <w:rFonts w:hint="eastAsia" w:ascii="仿宋" w:hAnsi="仿宋" w:eastAsia="仿宋" w:cs="仿宋"/>
          <w:sz w:val="32"/>
          <w:szCs w:val="32"/>
        </w:rPr>
        <w:t>。我部门201</w:t>
      </w:r>
      <w:r>
        <w:rPr>
          <w:rFonts w:hint="eastAsia" w:ascii="仿宋" w:hAnsi="仿宋" w:eastAsia="仿宋" w:cs="仿宋"/>
          <w:sz w:val="32"/>
          <w:szCs w:val="32"/>
          <w:lang w:val="en-US" w:eastAsia="zh-CN"/>
        </w:rPr>
        <w:t>8</w:t>
      </w:r>
      <w:r>
        <w:rPr>
          <w:rFonts w:hint="eastAsia" w:ascii="仿宋" w:hAnsi="仿宋" w:eastAsia="仿宋" w:cs="仿宋"/>
          <w:sz w:val="32"/>
          <w:szCs w:val="32"/>
        </w:rPr>
        <w:t>年度没有政府性基金收入，也没有使用政府性基金安排的支出。</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初预算为12.38万元，支出决算为12.38万元，完成年初预算的100%。</w:t>
      </w:r>
      <w:bookmarkStart w:id="0" w:name="_GoBack"/>
      <w:r>
        <w:rPr>
          <w:rFonts w:hint="eastAsia" w:ascii="仿宋_GB2312" w:hAnsi="仿宋_GB2312" w:eastAsia="仿宋_GB2312" w:cs="仿宋_GB2312"/>
          <w:color w:val="auto"/>
          <w:sz w:val="32"/>
          <w:szCs w:val="32"/>
          <w:highlight w:val="none"/>
          <w:lang w:val="en-US" w:eastAsia="zh-CN"/>
        </w:rPr>
        <w:t>与上年相比减少3.24万元，减少20.7,%主要原因是:人员开支减少，经费相对减少。</w:t>
      </w:r>
    </w:p>
    <w:bookmarkEnd w:id="0"/>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01</w:t>
      </w:r>
      <w:r>
        <w:rPr>
          <w:rFonts w:hint="eastAsia" w:ascii="仿宋" w:hAnsi="仿宋" w:eastAsia="仿宋" w:cs="仿宋"/>
          <w:sz w:val="32"/>
          <w:szCs w:val="32"/>
          <w:lang w:val="en-US" w:eastAsia="zh-CN"/>
        </w:rPr>
        <w:t>8</w:t>
      </w:r>
      <w:r>
        <w:rPr>
          <w:rFonts w:hint="eastAsia" w:ascii="仿宋" w:hAnsi="仿宋" w:eastAsia="仿宋" w:cs="仿宋"/>
          <w:sz w:val="32"/>
          <w:szCs w:val="32"/>
        </w:rPr>
        <w:t>年期末，我部门共有车辆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辆，其中：省级领导干部用车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辆、应急保障车</w:t>
      </w:r>
      <w:r>
        <w:rPr>
          <w:rFonts w:hint="eastAsia" w:ascii="仿宋" w:hAnsi="仿宋" w:eastAsia="仿宋" w:cs="仿宋"/>
          <w:sz w:val="32"/>
          <w:szCs w:val="32"/>
          <w:lang w:val="en-US" w:eastAsia="zh-CN"/>
        </w:rPr>
        <w:t>0</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辆、离退休干部用车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sectPr>
          <w:pgSz w:w="11906" w:h="16838"/>
          <w:pgMar w:top="1440" w:right="1531" w:bottom="1440" w:left="1587" w:header="850" w:footer="992" w:gutter="0"/>
          <w:pgNumType w:fmt="numberInDash"/>
          <w:cols w:space="720" w:num="1"/>
          <w:rtlGutter w:val="0"/>
          <w:docGrid w:type="lines" w:linePitch="317" w:charSpace="0"/>
        </w:sectPr>
      </w:pP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rect>
      </w:pict>
    </w:r>
    <w:r>
      <w:rPr>
        <w:rFonts w:ascii="Calibri" w:hAnsi="Calibri" w:eastAsia="宋体" w:cs="Times New Roman"/>
        <w:kern w:val="2"/>
        <w:sz w:val="18"/>
        <w:szCs w:val="18"/>
        <w:lang w:val="en-US" w:eastAsia="zh-CN" w:bidi="ar-SA"/>
      </w:rPr>
      <w:pict>
        <v:rect id="文本框 2"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lang w:eastAsia="zh-CN"/>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w:pict>
        <v:rect id="文本框 3" o:spid="_x0000_s409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lvl>
  </w:abstractNum>
  <w:abstractNum w:abstractNumId="1">
    <w:nsid w:val="00000008"/>
    <w:multiLevelType w:val="singleLevel"/>
    <w:tmpl w:val="00000008"/>
    <w:lvl w:ilvl="0" w:tentative="0">
      <w:start w:val="1"/>
      <w:numFmt w:val="chineseCounting"/>
      <w:suff w:val="nothing"/>
      <w:lvlText w:val="%1、"/>
      <w:lvlJc w:val="left"/>
      <w:rPr>
        <w:rFonts w:hint="eastAsia"/>
      </w:rPr>
    </w:lvl>
  </w:abstractNum>
  <w:abstractNum w:abstractNumId="2">
    <w:nsid w:val="00000009"/>
    <w:multiLevelType w:val="singleLevel"/>
    <w:tmpl w:val="00000009"/>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B3E4F7B"/>
    <w:rsid w:val="235A4B85"/>
    <w:rsid w:val="3B3C6353"/>
    <w:rsid w:val="439D5F75"/>
    <w:rsid w:val="5BBD77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character" w:customStyle="1" w:styleId="6">
    <w:name w:val="font11"/>
    <w:basedOn w:val="5"/>
    <w:qFormat/>
    <w:uiPriority w:val="0"/>
    <w:rPr>
      <w:rFonts w:hint="eastAsia" w:ascii="宋体" w:hAnsi="宋体" w:eastAsia="宋体" w:cs="宋体"/>
      <w:color w:val="000000"/>
      <w:sz w:val="20"/>
      <w:szCs w:val="20"/>
      <w:u w:val="none"/>
    </w:rPr>
  </w:style>
  <w:style w:type="character" w:customStyle="1" w:styleId="7">
    <w:name w:val="font01"/>
    <w:basedOn w:val="5"/>
    <w:uiPriority w:val="0"/>
    <w:rPr>
      <w:rFonts w:hint="eastAsia" w:ascii="宋体" w:hAnsi="宋体" w:eastAsia="宋体" w:cs="宋体"/>
      <w:color w:val="000000"/>
      <w:sz w:val="22"/>
      <w:szCs w:val="22"/>
      <w:u w:val="none"/>
    </w:rPr>
  </w:style>
  <w:style w:type="character" w:customStyle="1" w:styleId="8">
    <w:name w:val="font51"/>
    <w:basedOn w:val="5"/>
    <w:uiPriority w:val="0"/>
    <w:rPr>
      <w:rFonts w:hint="eastAsia" w:ascii="宋体" w:hAnsi="宋体" w:eastAsia="宋体" w:cs="宋体"/>
      <w:color w:val="000000"/>
      <w:sz w:val="24"/>
      <w:szCs w:val="24"/>
      <w:u w:val="none"/>
    </w:rPr>
  </w:style>
  <w:style w:type="character" w:customStyle="1" w:styleId="9">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2019-09-26T16:05:00Z</dcterms:created>
  <dc:creator>Administrator</dc:creator>
  <cp:lastModifiedBy>Administrator</cp:lastModifiedBy>
  <dcterms:modified xsi:type="dcterms:W3CDTF">2020-12-15T10:03:58Z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