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黑体" w:hAnsi="黑体" w:eastAsia="黑体" w:cs="黑体"/>
          <w:sz w:val="44"/>
          <w:szCs w:val="44"/>
        </w:rPr>
      </w:pPr>
    </w:p>
    <w:p>
      <w:pPr>
        <w:shd w:val="clear"/>
        <w:jc w:val="center"/>
        <w:rPr>
          <w:rFonts w:hint="eastAsia" w:ascii="黑体" w:hAnsi="黑体" w:eastAsia="黑体" w:cs="黑体"/>
          <w:sz w:val="52"/>
          <w:szCs w:val="52"/>
        </w:rPr>
      </w:pPr>
    </w:p>
    <w:p>
      <w:pPr>
        <w:shd w:val="clear"/>
        <w:jc w:val="center"/>
        <w:rPr>
          <w:rFonts w:hint="eastAsia" w:ascii="黑体" w:hAnsi="黑体" w:eastAsia="黑体" w:cs="黑体"/>
          <w:sz w:val="52"/>
          <w:szCs w:val="52"/>
        </w:rPr>
      </w:pPr>
      <w:r>
        <w:rPr>
          <w:rFonts w:hint="eastAsia" w:ascii="黑体" w:hAnsi="黑体" w:eastAsia="黑体" w:cs="黑体"/>
          <w:sz w:val="52"/>
          <w:szCs w:val="52"/>
        </w:rPr>
        <w:t>濮阳县教育局</w:t>
      </w:r>
    </w:p>
    <w:p>
      <w:pPr>
        <w:shd w:val="clear"/>
        <w:jc w:val="center"/>
        <w:rPr>
          <w:rFonts w:hint="eastAsia" w:ascii="黑体" w:hAnsi="黑体" w:eastAsia="黑体" w:cs="黑体"/>
          <w:sz w:val="52"/>
          <w:szCs w:val="52"/>
        </w:rPr>
      </w:pPr>
    </w:p>
    <w:p>
      <w:pPr>
        <w:shd w:val="clear"/>
        <w:jc w:val="center"/>
        <w:rPr>
          <w:rFonts w:hint="eastAsia" w:ascii="黑体" w:hAnsi="黑体" w:eastAsia="黑体" w:cs="黑体"/>
          <w:sz w:val="52"/>
          <w:szCs w:val="52"/>
        </w:rPr>
      </w:pPr>
      <w:r>
        <w:rPr>
          <w:rFonts w:hint="eastAsia" w:ascii="黑体" w:hAnsi="黑体" w:eastAsia="黑体" w:cs="黑体"/>
          <w:sz w:val="52"/>
          <w:szCs w:val="52"/>
          <w:lang w:eastAsia="zh-CN"/>
        </w:rPr>
        <w:t>2019</w:t>
      </w:r>
      <w:r>
        <w:rPr>
          <w:rFonts w:hint="eastAsia" w:ascii="黑体" w:hAnsi="黑体" w:eastAsia="黑体" w:cs="黑体"/>
          <w:sz w:val="52"/>
          <w:szCs w:val="52"/>
        </w:rPr>
        <w:t>年度部门决算</w:t>
      </w:r>
    </w:p>
    <w:p>
      <w:pPr>
        <w:shd w:val="clear"/>
        <w:rPr>
          <w:rFonts w:hint="eastAsia"/>
          <w:sz w:val="52"/>
          <w:szCs w:val="52"/>
        </w:rPr>
      </w:pPr>
    </w:p>
    <w:p>
      <w:pPr>
        <w:shd w:val="clear"/>
        <w:rPr>
          <w:rFonts w:hint="eastAsia"/>
          <w:sz w:val="52"/>
          <w:szCs w:val="52"/>
        </w:rPr>
      </w:pPr>
    </w:p>
    <w:p>
      <w:pPr>
        <w:shd w:val="clear"/>
        <w:rPr>
          <w:rFonts w:hint="eastAsia"/>
          <w:sz w:val="52"/>
          <w:szCs w:val="52"/>
        </w:rPr>
      </w:pPr>
    </w:p>
    <w:p>
      <w:pPr>
        <w:shd w:val="clear"/>
        <w:rPr>
          <w:rFonts w:hint="eastAsia"/>
          <w:sz w:val="52"/>
          <w:szCs w:val="52"/>
        </w:rPr>
      </w:pPr>
    </w:p>
    <w:p>
      <w:pPr>
        <w:shd w:val="clear"/>
        <w:rPr>
          <w:rFonts w:hint="eastAsia"/>
          <w:sz w:val="52"/>
          <w:szCs w:val="52"/>
        </w:rPr>
      </w:pPr>
    </w:p>
    <w:p>
      <w:pPr>
        <w:shd w:val="clear"/>
        <w:rPr>
          <w:rFonts w:hint="eastAsia"/>
          <w:sz w:val="52"/>
          <w:szCs w:val="52"/>
        </w:rPr>
      </w:pPr>
    </w:p>
    <w:p>
      <w:pPr>
        <w:shd w:val="clear"/>
        <w:jc w:val="center"/>
        <w:rPr>
          <w:rFonts w:hint="eastAsia" w:ascii="仿宋" w:hAnsi="仿宋" w:eastAsia="仿宋" w:cs="仿宋"/>
          <w:sz w:val="52"/>
          <w:szCs w:val="52"/>
        </w:rPr>
      </w:pPr>
    </w:p>
    <w:p>
      <w:pPr>
        <w:shd w:val="clear"/>
        <w:jc w:val="center"/>
        <w:rPr>
          <w:rFonts w:hint="eastAsia" w:ascii="仿宋" w:hAnsi="仿宋" w:eastAsia="仿宋" w:cs="仿宋"/>
          <w:b/>
          <w:bCs/>
          <w:sz w:val="52"/>
          <w:szCs w:val="52"/>
        </w:rPr>
      </w:pPr>
      <w:r>
        <w:rPr>
          <w:rFonts w:hint="eastAsia" w:ascii="仿宋" w:hAnsi="仿宋" w:eastAsia="仿宋" w:cs="仿宋"/>
          <w:b/>
          <w:bCs/>
          <w:sz w:val="52"/>
          <w:szCs w:val="52"/>
        </w:rPr>
        <w:t>二〇</w:t>
      </w:r>
      <w:r>
        <w:rPr>
          <w:rFonts w:hint="eastAsia" w:ascii="仿宋" w:hAnsi="仿宋" w:eastAsia="仿宋" w:cs="仿宋"/>
          <w:b/>
          <w:bCs/>
          <w:sz w:val="52"/>
          <w:szCs w:val="52"/>
          <w:lang w:eastAsia="zh-CN"/>
        </w:rPr>
        <w:t>二</w:t>
      </w:r>
      <w:r>
        <w:rPr>
          <w:rFonts w:hint="eastAsia" w:ascii="仿宋" w:hAnsi="仿宋" w:eastAsia="仿宋" w:cs="仿宋"/>
          <w:b/>
          <w:bCs/>
          <w:sz w:val="52"/>
          <w:szCs w:val="52"/>
        </w:rPr>
        <w:t>〇年</w:t>
      </w:r>
      <w:r>
        <w:rPr>
          <w:rFonts w:hint="eastAsia" w:ascii="仿宋" w:hAnsi="仿宋" w:eastAsia="仿宋" w:cs="仿宋"/>
          <w:b/>
          <w:bCs/>
          <w:sz w:val="52"/>
          <w:szCs w:val="52"/>
          <w:lang w:eastAsia="zh-CN"/>
        </w:rPr>
        <w:t>九</w:t>
      </w:r>
      <w:r>
        <w:rPr>
          <w:rFonts w:hint="eastAsia" w:ascii="仿宋" w:hAnsi="仿宋" w:eastAsia="仿宋" w:cs="仿宋"/>
          <w:b/>
          <w:bCs/>
          <w:sz w:val="52"/>
          <w:szCs w:val="52"/>
        </w:rPr>
        <w:t>月</w:t>
      </w: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jc w:val="center"/>
        <w:rPr>
          <w:rFonts w:hint="eastAsia" w:ascii="华文仿宋" w:hAnsi="华文仿宋" w:eastAsia="华文仿宋" w:cs="华文仿宋"/>
          <w:b/>
          <w:bCs/>
          <w:sz w:val="60"/>
          <w:szCs w:val="60"/>
        </w:rPr>
      </w:pPr>
      <w:r>
        <w:rPr>
          <w:rFonts w:hint="eastAsia" w:ascii="华文仿宋" w:hAnsi="华文仿宋" w:eastAsia="华文仿宋" w:cs="华文仿宋"/>
          <w:b/>
          <w:bCs/>
          <w:sz w:val="60"/>
          <w:szCs w:val="60"/>
        </w:rPr>
        <w:t>目</w:t>
      </w:r>
      <w:r>
        <w:rPr>
          <w:rFonts w:hint="eastAsia" w:ascii="华文仿宋" w:hAnsi="华文仿宋" w:eastAsia="华文仿宋" w:cs="华文仿宋"/>
          <w:b/>
          <w:bCs/>
          <w:sz w:val="60"/>
          <w:szCs w:val="60"/>
        </w:rPr>
        <w:tab/>
      </w:r>
      <w:r>
        <w:rPr>
          <w:rFonts w:hint="eastAsia" w:ascii="华文仿宋" w:hAnsi="华文仿宋" w:eastAsia="华文仿宋" w:cs="华文仿宋"/>
          <w:b/>
          <w:bCs/>
          <w:sz w:val="60"/>
          <w:szCs w:val="60"/>
        </w:rPr>
        <w:t>录</w:t>
      </w: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第一部分</w:t>
      </w:r>
      <w:r>
        <w:rPr>
          <w:rFonts w:hint="eastAsia" w:ascii="华文仿宋" w:hAnsi="华文仿宋" w:eastAsia="华文仿宋" w:cs="华文仿宋"/>
          <w:sz w:val="32"/>
          <w:szCs w:val="32"/>
        </w:rPr>
        <w:tab/>
      </w:r>
      <w:r>
        <w:rPr>
          <w:rFonts w:hint="eastAsia" w:ascii="华文仿宋" w:hAnsi="华文仿宋" w:eastAsia="华文仿宋" w:cs="华文仿宋"/>
          <w:sz w:val="32"/>
          <w:szCs w:val="32"/>
        </w:rPr>
        <w:t>濮阳县教育局概况</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一、部门职责</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二、机构设置</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第二部分</w:t>
      </w:r>
      <w:r>
        <w:rPr>
          <w:rFonts w:hint="eastAsia" w:ascii="华文仿宋" w:hAnsi="华文仿宋" w:eastAsia="华文仿宋" w:cs="华文仿宋"/>
          <w:sz w:val="32"/>
          <w:szCs w:val="32"/>
        </w:rPr>
        <w:tab/>
      </w:r>
      <w:r>
        <w:rPr>
          <w:rFonts w:hint="eastAsia" w:ascii="华文仿宋" w:hAnsi="华文仿宋" w:eastAsia="华文仿宋" w:cs="华文仿宋"/>
          <w:sz w:val="32"/>
          <w:szCs w:val="32"/>
        </w:rPr>
        <w:t xml:space="preserve">濮阳县教育局 </w:t>
      </w:r>
      <w:r>
        <w:rPr>
          <w:rFonts w:hint="eastAsia" w:ascii="华文仿宋" w:hAnsi="华文仿宋" w:eastAsia="华文仿宋" w:cs="华文仿宋"/>
          <w:sz w:val="32"/>
          <w:szCs w:val="32"/>
          <w:lang w:eastAsia="zh-CN"/>
        </w:rPr>
        <w:t>2019</w:t>
      </w:r>
      <w:r>
        <w:rPr>
          <w:rFonts w:hint="eastAsia" w:ascii="华文仿宋" w:hAnsi="华文仿宋" w:eastAsia="华文仿宋" w:cs="华文仿宋"/>
          <w:sz w:val="32"/>
          <w:szCs w:val="32"/>
        </w:rPr>
        <w:t>年度部门决算表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一、收入支出决算总表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二、收入决算表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三、支出决算表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四、财政拨款收入支出决算总表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五、一般公共预算财政拨款支出决算表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六、一般公共预算财政拨款基本支出决算表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七、一般公共预算财政拨款“三公”经费支出决算表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八、政府性基金预算财政拨款收入支出决算表</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第三部分濮阳县教育局 </w:t>
      </w:r>
      <w:r>
        <w:rPr>
          <w:rFonts w:hint="eastAsia" w:ascii="华文仿宋" w:hAnsi="华文仿宋" w:eastAsia="华文仿宋" w:cs="华文仿宋"/>
          <w:sz w:val="32"/>
          <w:szCs w:val="32"/>
          <w:lang w:eastAsia="zh-CN"/>
        </w:rPr>
        <w:t>2019</w:t>
      </w:r>
      <w:r>
        <w:rPr>
          <w:rFonts w:hint="eastAsia" w:ascii="华文仿宋" w:hAnsi="华文仿宋" w:eastAsia="华文仿宋" w:cs="华文仿宋"/>
          <w:sz w:val="32"/>
          <w:szCs w:val="32"/>
        </w:rPr>
        <w:t xml:space="preserve"> 年度部门决算情况说明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一、收入支出决算总体情况说明二、收入决算情况说明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三、支出决算情况说明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四、财政拨款收入支出决算总体情况说明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五、一般公共预算财政拨款支出决算情况说明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六、一般公共预算财政拨款基本支出决算情况说明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七、一般公共预算财政拨款“三公”经费支出决算情况说明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八、预算绩效情况说明    </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九、政府性基金预算财政拨款支出决算情况说明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十、机关运行经费支出情况说明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十一、政府采购支出情况说明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十二、国有资产占用情况说明</w:t>
      </w:r>
    </w:p>
    <w:p>
      <w:pPr>
        <w:shd w:val="clea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第四部分</w:t>
      </w:r>
      <w:r>
        <w:rPr>
          <w:rFonts w:hint="eastAsia" w:ascii="华文仿宋" w:hAnsi="华文仿宋" w:eastAsia="华文仿宋" w:cs="华文仿宋"/>
          <w:sz w:val="32"/>
          <w:szCs w:val="32"/>
        </w:rPr>
        <w:tab/>
      </w:r>
      <w:r>
        <w:rPr>
          <w:rFonts w:hint="eastAsia" w:ascii="华文仿宋" w:hAnsi="华文仿宋" w:eastAsia="华文仿宋" w:cs="华文仿宋"/>
          <w:sz w:val="32"/>
          <w:szCs w:val="32"/>
        </w:rPr>
        <w:t>名词解释</w:t>
      </w: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jc w:val="center"/>
        <w:rPr>
          <w:rFonts w:hint="eastAsia" w:ascii="黑体" w:hAnsi="黑体" w:eastAsia="黑体" w:cs="黑体"/>
          <w:sz w:val="44"/>
          <w:szCs w:val="44"/>
        </w:rPr>
      </w:pPr>
      <w:r>
        <w:rPr>
          <w:rFonts w:hint="eastAsia" w:ascii="黑体" w:hAnsi="黑体" w:eastAsia="黑体" w:cs="黑体"/>
          <w:sz w:val="44"/>
          <w:szCs w:val="44"/>
        </w:rPr>
        <w:t>第一部分</w:t>
      </w:r>
      <w:r>
        <w:rPr>
          <w:rFonts w:hint="eastAsia" w:ascii="黑体" w:hAnsi="黑体" w:eastAsia="黑体" w:cs="黑体"/>
          <w:sz w:val="44"/>
          <w:szCs w:val="44"/>
        </w:rPr>
        <w:tab/>
      </w:r>
      <w:r>
        <w:rPr>
          <w:rFonts w:hint="eastAsia" w:ascii="黑体" w:hAnsi="黑体" w:eastAsia="黑体" w:cs="黑体"/>
          <w:sz w:val="44"/>
          <w:szCs w:val="44"/>
        </w:rPr>
        <w:t>濮阳县教育局概况</w:t>
      </w:r>
    </w:p>
    <w:p>
      <w:pPr>
        <w:shd w:val="clear"/>
        <w:jc w:val="center"/>
        <w:rPr>
          <w:rFonts w:hint="eastAsia" w:ascii="华文仿宋" w:hAnsi="华文仿宋" w:eastAsia="华文仿宋" w:cs="华文仿宋"/>
          <w:sz w:val="32"/>
          <w:szCs w:val="32"/>
        </w:rPr>
      </w:pP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一、主要职责</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（一）贯彻实施国家、省、市教育改革与发展的方针、政策、法规和规划；制定规范性文件并监督实施；负责教育理论研究和宣传工作。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二）负责全县各级各类教育的统筹规划和协调管理；制定全县教育改革发展战略和教育事业发展规划；拟定教育体制改革的政策以及教育发展的重点、结构、速度，并负责指导、协调、督促实施；指导全县各级各类学校的教育教学改革；负责全县教育基本信息的统计分析和发布。</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三）负责本部门教育经费的统筹管理；参与拟定教育经费筹措、教育拨款、教育基建投资的政策和措施；负责统计全县教育经费投入情况和教育系统内部审计工作；按照有关规定管理国内外对我县的教育援助、教育贷款。</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四）负责推进义务教育均衡发展和促进教育公平，负责义务教育的宏观指导与协调；指导普通高中、幼儿教育和特殊教育工作；落实基础教育教学基本要求和教学基本条件，组织选用基础教育教学的地方性教材和补充教材，全面实施素质教育；指导全县教育督导工作，组织对中等及中等以下教育、扫除青壮年文盲工作的督导检查和评估验收工作；负责基础教育发展水平、质量的监测工作；督促、落实中等、初等教育各类学校和学前教育机构（含民办教育）的设置标准、教学基本要求、教学基本条件。</w:t>
      </w:r>
    </w:p>
    <w:p>
      <w:pPr>
        <w:keepNext w:val="0"/>
        <w:keepLines w:val="0"/>
        <w:pageBreakBefore w:val="0"/>
        <w:widowControl w:val="0"/>
        <w:shd w:val="clear"/>
        <w:kinsoku/>
        <w:wordWrap/>
        <w:overflowPunct/>
        <w:topLinePunct w:val="0"/>
        <w:autoSpaceDE/>
        <w:autoSpaceDN/>
        <w:bidi w:val="0"/>
        <w:adjustRightInd/>
        <w:snapToGrid w:val="0"/>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（五）指导以就业为导向的职业教育的发展与改革，落实中等职业教育专业目录、教学指导文件和教学评估标准；负责中等职业教育教材建设和职业指导工作。</w:t>
      </w:r>
    </w:p>
    <w:p>
      <w:pPr>
        <w:keepNext w:val="0"/>
        <w:keepLines w:val="0"/>
        <w:pageBreakBefore w:val="0"/>
        <w:widowControl w:val="0"/>
        <w:shd w:val="clear"/>
        <w:kinsoku/>
        <w:wordWrap/>
        <w:overflowPunct/>
        <w:topLinePunct w:val="0"/>
        <w:autoSpaceDE/>
        <w:autoSpaceDN/>
        <w:bidi w:val="0"/>
        <w:adjustRightInd/>
        <w:snapToGrid w:val="0"/>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（六）指导各级各类学校思想政治工作、德育工作、体育卫生与艺术教育工作、国防教育及安全稳定工作。</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（七）按照有关规定，负责干部管理权限范围内的干部管理工作。</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八）主管全县教师工作。负责全县各级各类学校教师资格制度实施；负责教育系统的表彰奖励；归口管理教师和教育管理人员继续教育；协调指导各级各类学校内部人事与分配制度改革；负责教育系统人才队伍建设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（九）制定并实施县属中等专业学校招生计划，落实高等学历教育招生计划；指导师范院校开展大中专毕业生就业创业工作。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负责管理教育系统的科研工作；负责教育系统信息化建设；组织有关学校承担国家和省、市重大科研项目的实施工作；组织指导教育方面的对外交流与合作，负责同国外和港、澳、台地区的教育交流与合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（十一）落实国家语言文字工作的方针、政策；制定全县语言文字工作规划；负责普通话推广工作。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（十二）指导全县教育社团工作。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（十三）承办县政府交办的其他事项。</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内设机构:</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（一）办公室</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综合协调机关行政事务;负责重要会议的组织安排和督办查办工作;负责局机关财务和国有资产管理;负责责任目标及人大建议、政协提案的督办工作;负责文秘、信息、宣传、信访、档案、机要、保密、保卫、计划生育、工会、政务公开及机关精神文明建设等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(二)人事股</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负责局机关及所属单位机构编制和人事管理工作;按照有关规定,负责千部管理权限范围内的干部管理工作;指导全县中小学教师队伍建设;负责全县教育系统教师以外的教育干部培训工作;负责全县教育系统的表彰奖励工作;负责全县教师资格认定管理工作;负责教育系统离退休人员管理工作;参与拟定普通大中专毕业生就业政策;配合县政府职称主管部门,承办教育序列专业技术职务任职资格评审工作负责全县教职工人事档案的管理工作;指导全县学校干部队伍组织建设、思想建设和作风建设</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(三)财务股(教育审计办公室)</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参与拟订教育经费筹措、教育拨款和教育基建投资有关政策,统筹管理教育经费及财务监管;编制县直学校及所属单位教育事业费预算、决算,管理国有资产;管理国内外教育贷款和增援款;指导和推进学校后勤工作改革;负责有关工商税务、财务检查方面的协调工作;负责教育系统内部审计工作;管理局会计核算中心日常工作;拟定全县教育事业发展规划,指导规划的实施及落实;负责所属学校体制改革工作;会同有关部门承办所属学校的布局、结构调整和设置、撤销及更名工作;管理县级教育基本建设项目及教育基本建设投资;负责全县教育事业基本信息统计和分析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(四)基础教育股</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承担义务教育的宏观管理工作;拟订推进义务教育均衡发展政策,提出保障学生平等接受义务教育的政策措施;规范义务教育学校办学行为,推进义务教育教学和课程改革组织选用义务教育阶段课程教科书;指导义务教育的教学信息化、图书馆和教学实验设备配备工作;负责义务教育阶段学校招生、学籍管理、课程设置工作;指导、管理义务教育阶段学校的德育、劳动实践教育和校外教育工作;指导、管理青少年学生校外活动场所开展工作;协调指导全县中小学校少先队工作;会同有关部门指导民办义务教育机构的工作负责全县农村中小学现代远程教育工程的应用管理等工作承担普通高中教育、幼儿教育和特殊教育的宏观管理工作;拟订普通高中教育、幼儿教育和特殊教育的发展政策和基本教学文件;组织选用课程教科书,推进普通高中教育、幼儿教育和特殊教育的课程改革;负责全县普通高中学业水平考试的组织管理及协调工作;负责高中、幼儿园(学前班)、特殊教育的招生及学籍管理;指导普通高中教育、幼儿教育和特殊教育的教学信息化、图书馆和实验设备配备工作;负责普通高中教育、幼儿教育和特殊教育的德育、劳动教育和校外教育工作;负责全县学校共青团工作;会同有关部门指导民办高中、初中、小学、幼儿、特殊教育机构的工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(五)职业、成人教育股(县民办教育管理办公室)</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综合管理全县职业教育和成人教育工作,拟订职业教育成人教育改革和发展规划、措施;负责职业学校专业课教师的培训、培养和骨干教师管理工作,负责职业中专和成人学校的专业设置、招生、学籍管理、考核与评估、发放学历证书工作;指导全县国家级、省级、市级重点和示范性职业学校建设;指导职业学校毕业生就业工作;指导中等职业教育成人教育教学改革和德育工作;承担扫除青壮年文盲的管理与指导工作;负责全县民办教育的综合协调管理工作;完善乡镇成人教育工作,发展乡镇成人学校,积极开展农民实用科学技术培训。</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(六)师资培养培训股</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负责县教师进修学校的教学指导、教育教学管理和学校基地建设工作;负责中小学教师的培养、培训和继续教育工作;参与全县中小学教师队伍建设工作;负责中小学教师师德建设工作;负责骨干教师资格的审核、管理工作</w:t>
      </w:r>
      <w:r>
        <w:rPr>
          <w:rFonts w:hint="eastAsia" w:ascii="华文仿宋" w:hAnsi="华文仿宋" w:eastAsia="华文仿宋" w:cs="华文仿宋"/>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(七)体育卫生艺术教育股</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归口管理学校体育、卫生、健康教育和艺术教育工作;负责贯彻实施有关体育、卫生、艺术教育教学与学校体育竞赛的指导性文件;指导学校体育、卫生、艺术有关教材和器材设施建设工作;指导学生的军训和国防教育工作,协调学校组团参加重大体育竞赛和艺术活动。</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(八)学校安全管理办公室</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制订教育系统安全工作规划、规章制度;负责协调学校平安建设及社会治安综合治理工作;指导学校安全教育和保卫工作;指导学校制定安全应急预案;协调指导学校食品卫生、消防、交通、防汛、校舍等安全工作;负责全县教育系统依法行政工作;负责教育系统综合法规宣传教育和执法监督工作;组织指导教育方面的对外交流与合作。</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二、部门决算单位构成</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纳入濮阳县教育局 </w:t>
      </w:r>
      <w:r>
        <w:rPr>
          <w:rFonts w:hint="eastAsia" w:ascii="华文仿宋" w:hAnsi="华文仿宋" w:eastAsia="华文仿宋" w:cs="华文仿宋"/>
          <w:sz w:val="32"/>
          <w:szCs w:val="32"/>
          <w:lang w:eastAsia="zh-CN"/>
        </w:rPr>
        <w:t>2019</w:t>
      </w:r>
      <w:r>
        <w:rPr>
          <w:rFonts w:hint="eastAsia" w:ascii="华文仿宋" w:hAnsi="华文仿宋" w:eastAsia="华文仿宋" w:cs="华文仿宋"/>
          <w:sz w:val="32"/>
          <w:szCs w:val="32"/>
        </w:rPr>
        <w:t xml:space="preserve"> 年度部门决算编制范围的单位包括：濮阳县教育局本级及部分乡镇教育经费，本级决算即汇总决算。</w:t>
      </w: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p>
    <w:p>
      <w:pPr>
        <w:keepNext w:val="0"/>
        <w:keepLines w:val="0"/>
        <w:pageBreakBefore w:val="0"/>
        <w:widowControl w:val="0"/>
        <w:shd w:val="clear"/>
        <w:kinsoku/>
        <w:wordWrap/>
        <w:overflowPunct/>
        <w:topLinePunct w:val="0"/>
        <w:autoSpaceDE/>
        <w:autoSpaceDN/>
        <w:bidi w:val="0"/>
        <w:adjustRightInd/>
        <w:snapToGrid/>
        <w:textAlignment w:val="auto"/>
        <w:outlineLvl w:val="9"/>
        <w:rPr>
          <w:rFonts w:hint="eastAsia" w:ascii="华文仿宋" w:hAnsi="华文仿宋" w:eastAsia="华文仿宋" w:cs="华文仿宋"/>
          <w:sz w:val="32"/>
          <w:szCs w:val="32"/>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sectPr>
          <w:footerReference r:id="rId3" w:type="default"/>
          <w:pgSz w:w="11906" w:h="16838"/>
          <w:pgMar w:top="1440" w:right="1800" w:bottom="1440" w:left="1800" w:header="720" w:footer="720" w:gutter="0"/>
          <w:pgNumType w:fmt="numberInDash"/>
          <w:cols w:space="720" w:num="1"/>
          <w:docGrid w:type="lines" w:linePitch="312" w:charSpace="0"/>
        </w:sectPr>
      </w:pPr>
    </w:p>
    <w:tbl>
      <w:tblPr>
        <w:tblStyle w:val="6"/>
        <w:tblW w:w="14070" w:type="dxa"/>
        <w:tblInd w:w="0" w:type="dxa"/>
        <w:shd w:val="clear" w:color="auto" w:fill="auto"/>
        <w:tblLayout w:type="autofit"/>
        <w:tblCellMar>
          <w:top w:w="0" w:type="dxa"/>
          <w:left w:w="0" w:type="dxa"/>
          <w:bottom w:w="0" w:type="dxa"/>
          <w:right w:w="0" w:type="dxa"/>
        </w:tblCellMar>
      </w:tblPr>
      <w:tblGrid>
        <w:gridCol w:w="4662"/>
        <w:gridCol w:w="658"/>
        <w:gridCol w:w="1428"/>
        <w:gridCol w:w="4662"/>
        <w:gridCol w:w="658"/>
        <w:gridCol w:w="2002"/>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33,895.25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tbl>
      <w:tblPr>
        <w:tblStyle w:val="6"/>
        <w:tblW w:w="0" w:type="auto"/>
        <w:tblInd w:w="0" w:type="dxa"/>
        <w:shd w:val="clear" w:color="auto" w:fill="auto"/>
        <w:tblLayout w:type="autofit"/>
        <w:tblCellMar>
          <w:top w:w="0" w:type="dxa"/>
          <w:left w:w="0" w:type="dxa"/>
          <w:bottom w:w="0" w:type="dxa"/>
          <w:right w:w="0" w:type="dxa"/>
        </w:tblCellMar>
      </w:tblPr>
      <w:tblGrid>
        <w:gridCol w:w="2630"/>
        <w:gridCol w:w="36"/>
        <w:gridCol w:w="36"/>
        <w:gridCol w:w="3770"/>
        <w:gridCol w:w="1338"/>
        <w:gridCol w:w="1338"/>
        <w:gridCol w:w="1318"/>
        <w:gridCol w:w="894"/>
        <w:gridCol w:w="894"/>
        <w:gridCol w:w="1743"/>
        <w:gridCol w:w="1431"/>
      </w:tblGrid>
      <w:tr>
        <w:tblPrEx>
          <w:shd w:val="clear" w:color="auto" w:fill="auto"/>
          <w:tblCellMar>
            <w:top w:w="0" w:type="dxa"/>
            <w:left w:w="0" w:type="dxa"/>
            <w:bottom w:w="0" w:type="dxa"/>
            <w:right w:w="0" w:type="dxa"/>
          </w:tblCellMar>
        </w:tblPrEx>
        <w:trPr>
          <w:trHeight w:val="390" w:hRule="atLeast"/>
        </w:trPr>
        <w:tc>
          <w:tcPr>
            <w:tcW w:w="0" w:type="auto"/>
            <w:gridSpan w:val="11"/>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33,895.25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33,895.25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29,517.22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29,517.22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3,845.15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3,845.15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15,067.21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15,067.21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高等教育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5,485.23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5,485.23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职业高中教育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其他职业教育支出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tbl>
      <w:tblPr>
        <w:tblStyle w:val="6"/>
        <w:tblW w:w="0" w:type="auto"/>
        <w:tblInd w:w="0" w:type="dxa"/>
        <w:shd w:val="clear" w:color="auto" w:fill="auto"/>
        <w:tblLayout w:type="autofit"/>
        <w:tblCellMar>
          <w:top w:w="0" w:type="dxa"/>
          <w:left w:w="0" w:type="dxa"/>
          <w:bottom w:w="0" w:type="dxa"/>
          <w:right w:w="0" w:type="dxa"/>
        </w:tblCellMar>
      </w:tblPr>
      <w:tblGrid>
        <w:gridCol w:w="2630"/>
        <w:gridCol w:w="36"/>
        <w:gridCol w:w="36"/>
        <w:gridCol w:w="3770"/>
        <w:gridCol w:w="1350"/>
        <w:gridCol w:w="1530"/>
        <w:gridCol w:w="1028"/>
        <w:gridCol w:w="1350"/>
        <w:gridCol w:w="910"/>
        <w:gridCol w:w="2010"/>
      </w:tblGrid>
      <w:tr>
        <w:tblPrEx>
          <w:shd w:val="clear" w:color="auto" w:fill="auto"/>
          <w:tblCellMar>
            <w:top w:w="0" w:type="dxa"/>
            <w:left w:w="0" w:type="dxa"/>
            <w:bottom w:w="0" w:type="dxa"/>
            <w:right w:w="0" w:type="dxa"/>
          </w:tblCellMar>
        </w:tblPrEx>
        <w:trPr>
          <w:trHeight w:val="39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10,837.41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23,078.99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33,895.25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10,816.26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23,078.99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29,517.22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8,742.23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20,774.99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3,845.15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3,810.20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15,067.21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1,858.21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高等教育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5,485.23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5,146.44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职业高中教育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其他职业教育支出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tbl>
      <w:tblPr>
        <w:tblStyle w:val="6"/>
        <w:tblW w:w="14790" w:type="dxa"/>
        <w:tblInd w:w="0" w:type="dxa"/>
        <w:shd w:val="clear" w:color="auto" w:fill="auto"/>
        <w:tblLayout w:type="autofit"/>
        <w:tblCellMar>
          <w:top w:w="0" w:type="dxa"/>
          <w:left w:w="0" w:type="dxa"/>
          <w:bottom w:w="0" w:type="dxa"/>
          <w:right w:w="0" w:type="dxa"/>
        </w:tblCellMar>
      </w:tblPr>
      <w:tblGrid>
        <w:gridCol w:w="3270"/>
        <w:gridCol w:w="570"/>
        <w:gridCol w:w="1680"/>
        <w:gridCol w:w="3660"/>
        <w:gridCol w:w="570"/>
        <w:gridCol w:w="1680"/>
        <w:gridCol w:w="1680"/>
        <w:gridCol w:w="1680"/>
      </w:tblGrid>
      <w:tr>
        <w:tblPrEx>
          <w:shd w:val="clear" w:color="auto" w:fill="auto"/>
          <w:tblCellMar>
            <w:top w:w="0" w:type="dxa"/>
            <w:left w:w="0" w:type="dxa"/>
            <w:bottom w:w="0" w:type="dxa"/>
            <w:right w:w="0" w:type="dxa"/>
          </w:tblCellMar>
        </w:tblPrEx>
        <w:trPr>
          <w:trHeight w:val="390"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shd w:val="clear"/>
              <w:rPr>
                <w:rFonts w:hint="eastAsia"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33,895.25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33,895.25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tbl>
      <w:tblPr>
        <w:tblStyle w:val="6"/>
        <w:tblW w:w="13970" w:type="dxa"/>
        <w:tblInd w:w="0" w:type="dxa"/>
        <w:shd w:val="clear" w:color="auto" w:fill="auto"/>
        <w:tblLayout w:type="autofit"/>
        <w:tblCellMar>
          <w:top w:w="0" w:type="dxa"/>
          <w:left w:w="0" w:type="dxa"/>
          <w:bottom w:w="0" w:type="dxa"/>
          <w:right w:w="0" w:type="dxa"/>
        </w:tblCellMar>
      </w:tblPr>
      <w:tblGrid>
        <w:gridCol w:w="3170"/>
        <w:gridCol w:w="43"/>
        <w:gridCol w:w="43"/>
        <w:gridCol w:w="4544"/>
        <w:gridCol w:w="1976"/>
        <w:gridCol w:w="1976"/>
        <w:gridCol w:w="2218"/>
      </w:tblGrid>
      <w:tr>
        <w:tblPrEx>
          <w:shd w:val="clear" w:color="auto" w:fill="auto"/>
          <w:tblCellMar>
            <w:top w:w="0" w:type="dxa"/>
            <w:left w:w="0" w:type="dxa"/>
            <w:bottom w:w="0" w:type="dxa"/>
            <w:right w:w="0" w:type="dxa"/>
          </w:tblCellMar>
        </w:tblPrEx>
        <w:trPr>
          <w:trHeight w:val="390" w:hRule="atLeast"/>
        </w:trPr>
        <w:tc>
          <w:tcPr>
            <w:tcW w:w="13970" w:type="dxa"/>
            <w:gridSpan w:val="7"/>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2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2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33,916.41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10,837.41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23,078.99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33,895.25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10,816.26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23,078.99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29,517.22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8,742.23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20,774.99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3,845.15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3,810.20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15,067.21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1,858.21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13,209.00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3,085.00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高等教育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5,485.23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5,146.44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338.79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职业高中教育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其他职业教育支出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tbl>
      <w:tblPr>
        <w:tblStyle w:val="6"/>
        <w:tblW w:w="15700" w:type="dxa"/>
        <w:tblInd w:w="0" w:type="dxa"/>
        <w:shd w:val="clear" w:color="auto" w:fill="auto"/>
        <w:tblLayout w:type="fixed"/>
        <w:tblCellMar>
          <w:top w:w="0" w:type="dxa"/>
          <w:left w:w="0" w:type="dxa"/>
          <w:bottom w:w="0" w:type="dxa"/>
          <w:right w:w="0" w:type="dxa"/>
        </w:tblCellMar>
      </w:tblPr>
      <w:tblGrid>
        <w:gridCol w:w="994"/>
        <w:gridCol w:w="3285"/>
        <w:gridCol w:w="1470"/>
        <w:gridCol w:w="1183"/>
        <w:gridCol w:w="2120"/>
        <w:gridCol w:w="1179"/>
        <w:gridCol w:w="693"/>
        <w:gridCol w:w="3549"/>
        <w:gridCol w:w="1227"/>
      </w:tblGrid>
      <w:tr>
        <w:tblPrEx>
          <w:shd w:val="clear" w:color="auto" w:fill="auto"/>
          <w:tblCellMar>
            <w:top w:w="0" w:type="dxa"/>
            <w:left w:w="0" w:type="dxa"/>
            <w:bottom w:w="0" w:type="dxa"/>
            <w:right w:w="0" w:type="dxa"/>
          </w:tblCellMar>
        </w:tblPrEx>
        <w:trPr>
          <w:trHeight w:val="390" w:hRule="atLeast"/>
        </w:trPr>
        <w:tc>
          <w:tcPr>
            <w:tcW w:w="14473" w:type="dxa"/>
            <w:gridSpan w:val="8"/>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c>
          <w:tcPr>
            <w:tcW w:w="122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994"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28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4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8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12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79"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69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549"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22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99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328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47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8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12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79"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69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549"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22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74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95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99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1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1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9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99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1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1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1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6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35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2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701.05</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3,173.69</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188.53</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650.02</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177.05</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476.59</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1,274.37</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14.28</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417.90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21.15</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107.34</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700.48</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52.49</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34.46</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80.11</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203.64</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102.94</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325.28</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5,688.31</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823.31</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45.16</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1,943.59</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75.89</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165.93</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2,599.61</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755.43</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389.67</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89.03</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355.33</w:t>
            </w:r>
          </w:p>
        </w:tc>
        <w:tc>
          <w:tcPr>
            <w:tcW w:w="6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35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7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4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6,389.35</w:t>
            </w:r>
          </w:p>
        </w:tc>
        <w:tc>
          <w:tcPr>
            <w:tcW w:w="872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4,448.06</w:t>
            </w:r>
          </w:p>
        </w:tc>
      </w:tr>
      <w:tr>
        <w:tblPrEx>
          <w:tblCellMar>
            <w:top w:w="0" w:type="dxa"/>
            <w:left w:w="0" w:type="dxa"/>
            <w:bottom w:w="0" w:type="dxa"/>
            <w:right w:w="0" w:type="dxa"/>
          </w:tblCellMar>
        </w:tblPrEx>
        <w:trPr>
          <w:trHeight w:val="308" w:hRule="atLeast"/>
        </w:trPr>
        <w:tc>
          <w:tcPr>
            <w:tcW w:w="1570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tbl>
      <w:tblPr>
        <w:tblStyle w:val="6"/>
        <w:tblW w:w="0" w:type="auto"/>
        <w:tblInd w:w="0" w:type="dxa"/>
        <w:shd w:val="clear" w:color="auto" w:fill="auto"/>
        <w:tblLayout w:type="autofit"/>
        <w:tblCellMar>
          <w:top w:w="0" w:type="dxa"/>
          <w:left w:w="0" w:type="dxa"/>
          <w:bottom w:w="0" w:type="dxa"/>
          <w:right w:w="0" w:type="dxa"/>
        </w:tblCellMar>
      </w:tblPr>
      <w:tblGrid>
        <w:gridCol w:w="3185"/>
        <w:gridCol w:w="1486"/>
        <w:gridCol w:w="569"/>
        <w:gridCol w:w="1218"/>
        <w:gridCol w:w="1218"/>
        <w:gridCol w:w="960"/>
        <w:gridCol w:w="569"/>
        <w:gridCol w:w="1486"/>
        <w:gridCol w:w="569"/>
        <w:gridCol w:w="1218"/>
        <w:gridCol w:w="1218"/>
        <w:gridCol w:w="1732"/>
      </w:tblGrid>
      <w:tr>
        <w:tblPrEx>
          <w:shd w:val="clear" w:color="auto" w:fill="auto"/>
          <w:tblCellMar>
            <w:top w:w="0" w:type="dxa"/>
            <w:left w:w="0" w:type="dxa"/>
            <w:bottom w:w="0" w:type="dxa"/>
            <w:right w:w="0" w:type="dxa"/>
          </w:tblCellMar>
        </w:tblPrEx>
        <w:trPr>
          <w:trHeight w:val="540" w:hRule="atLeast"/>
        </w:trPr>
        <w:tc>
          <w:tcPr>
            <w:tcW w:w="0" w:type="auto"/>
            <w:gridSpan w:val="12"/>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0" w:type="auto"/>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p>
      <w:pPr>
        <w:shd w:val="clear"/>
        <w:jc w:val="both"/>
        <w:rPr>
          <w:rFonts w:hint="eastAsia" w:ascii="仿宋_GB2312" w:hAnsi="仿宋_GB2312" w:eastAsia="仿宋_GB2312" w:cs="仿宋_GB2312"/>
          <w:color w:val="auto"/>
          <w:sz w:val="32"/>
          <w:szCs w:val="32"/>
          <w:highlight w:val="yellow"/>
          <w:lang w:val="en-US" w:eastAsia="zh-CN"/>
        </w:rPr>
      </w:pPr>
    </w:p>
    <w:tbl>
      <w:tblPr>
        <w:tblStyle w:val="6"/>
        <w:tblW w:w="15428" w:type="dxa"/>
        <w:tblInd w:w="0" w:type="dxa"/>
        <w:shd w:val="clear" w:color="auto" w:fill="auto"/>
        <w:tblLayout w:type="autofit"/>
        <w:tblCellMar>
          <w:top w:w="0" w:type="dxa"/>
          <w:left w:w="0" w:type="dxa"/>
          <w:bottom w:w="0" w:type="dxa"/>
          <w:right w:w="0" w:type="dxa"/>
        </w:tblCellMar>
      </w:tblPr>
      <w:tblGrid>
        <w:gridCol w:w="4295"/>
        <w:gridCol w:w="59"/>
        <w:gridCol w:w="59"/>
        <w:gridCol w:w="1486"/>
        <w:gridCol w:w="1427"/>
        <w:gridCol w:w="1427"/>
        <w:gridCol w:w="1427"/>
        <w:gridCol w:w="1427"/>
        <w:gridCol w:w="1427"/>
        <w:gridCol w:w="2394"/>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部门：濮阳县教育局（本级）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9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49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49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4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293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4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3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3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4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shd w:val="clear"/>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both"/>
        <w:outlineLvl w:val="0"/>
        <w:rPr>
          <w:rFonts w:hint="eastAsia" w:ascii="黑体" w:hAnsi="黑体" w:eastAsia="黑体" w:cs="黑体"/>
          <w:color w:val="auto"/>
          <w:sz w:val="48"/>
          <w:szCs w:val="48"/>
          <w:highlight w:val="none"/>
        </w:rPr>
      </w:pPr>
    </w:p>
    <w:p>
      <w:pPr>
        <w:shd w:val="clear"/>
        <w:jc w:val="center"/>
        <w:rPr>
          <w:rFonts w:hint="eastAsia" w:ascii="黑体" w:hAnsi="黑体" w:eastAsia="黑体" w:cs="黑体"/>
          <w:sz w:val="44"/>
          <w:szCs w:val="44"/>
        </w:rPr>
      </w:pPr>
      <w:r>
        <w:rPr>
          <w:rFonts w:hint="eastAsia" w:ascii="黑体" w:hAnsi="黑体" w:eastAsia="黑体" w:cs="黑体"/>
          <w:sz w:val="44"/>
          <w:szCs w:val="44"/>
        </w:rPr>
        <w:t>第三部分</w:t>
      </w:r>
    </w:p>
    <w:p>
      <w:pPr>
        <w:shd w:val="clear"/>
        <w:jc w:val="center"/>
        <w:rPr>
          <w:rFonts w:hint="eastAsia" w:ascii="黑体" w:hAnsi="黑体" w:eastAsia="黑体" w:cs="黑体"/>
          <w:sz w:val="44"/>
          <w:szCs w:val="44"/>
        </w:rPr>
      </w:pPr>
      <w:r>
        <w:rPr>
          <w:rFonts w:hint="eastAsia" w:ascii="黑体" w:hAnsi="黑体" w:eastAsia="黑体" w:cs="黑体"/>
          <w:sz w:val="44"/>
          <w:szCs w:val="44"/>
          <w:lang w:eastAsia="zh-CN"/>
        </w:rPr>
        <w:t>2019</w:t>
      </w:r>
      <w:r>
        <w:rPr>
          <w:rFonts w:hint="eastAsia" w:ascii="黑体" w:hAnsi="黑体" w:eastAsia="黑体" w:cs="黑体"/>
          <w:sz w:val="44"/>
          <w:szCs w:val="44"/>
        </w:rPr>
        <w:t xml:space="preserve"> 年度部门决算情况说明</w:t>
      </w: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万元。与上年度相比，收、支总计各增加18.45万元，增长15.2%。主要原因是人员增资。</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万元，其中：财政拨款收入</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万元，占100%。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万元，其中：基本支出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万元，占100%。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2019年度财政拨款收、支总计均为占</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万元。与上年度相比，财政拨款收、支总计各增加18.45万元，增长15.2%。主要原因是人员增资。</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万元，占本年支出合计的100%。与上年度相比，一般公共预算财政拨款支出增加18.45万元，增长15.2%。主要原因是人员增资，社保缴费基数增加、专项活动经费增加。</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仿宋_GB2312" w:hAnsi="仿宋_GB2312" w:eastAsia="仿宋_GB2312" w:cs="仿宋_GB2312"/>
          <w:color w:val="auto"/>
          <w:sz w:val="32"/>
          <w:szCs w:val="32"/>
          <w:highlight w:val="none"/>
          <w:lang w:val="en-US" w:eastAsia="zh-CN"/>
        </w:rPr>
        <w:t>2019年度一般公共预算财政拨款支出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万元，主要用于以下方面：教育支出</w:t>
      </w:r>
      <w:r>
        <w:rPr>
          <w:rFonts w:hint="eastAsia" w:ascii="华文仿宋" w:hAnsi="华文仿宋" w:eastAsia="华文仿宋" w:cs="华文仿宋"/>
          <w:sz w:val="32"/>
          <w:szCs w:val="32"/>
          <w:lang w:val="en-US" w:eastAsia="zh-CN"/>
        </w:rPr>
        <w:t>33895.25</w:t>
      </w:r>
      <w:r>
        <w:rPr>
          <w:rFonts w:hint="eastAsia" w:ascii="仿宋_GB2312" w:hAnsi="仿宋_GB2312" w:eastAsia="仿宋_GB2312" w:cs="仿宋_GB2312"/>
          <w:color w:val="auto"/>
          <w:sz w:val="32"/>
          <w:szCs w:val="32"/>
          <w:highlight w:val="none"/>
          <w:lang w:val="en-US" w:eastAsia="zh-CN"/>
        </w:rPr>
        <w:t>万元，占80.92%；社会保障和就业支出</w:t>
      </w:r>
      <w:r>
        <w:rPr>
          <w:rFonts w:hint="eastAsia" w:ascii="华文仿宋" w:hAnsi="华文仿宋" w:eastAsia="华文仿宋" w:cs="华文仿宋"/>
          <w:sz w:val="32"/>
          <w:szCs w:val="32"/>
          <w:lang w:val="en-US" w:eastAsia="zh-CN"/>
        </w:rPr>
        <w:t>21.15</w:t>
      </w:r>
      <w:r>
        <w:rPr>
          <w:rFonts w:hint="eastAsia" w:ascii="仿宋_GB2312" w:hAnsi="仿宋_GB2312" w:eastAsia="仿宋_GB2312" w:cs="仿宋_GB2312"/>
          <w:color w:val="auto"/>
          <w:sz w:val="32"/>
          <w:szCs w:val="32"/>
          <w:highlight w:val="none"/>
          <w:lang w:val="en-US" w:eastAsia="zh-CN"/>
        </w:rPr>
        <w:t>万元，占19.08%。</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万元，支出决算为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万元，完成年初预算的100%。其中：</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(类）教育管理事务（款）行政运行（项）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235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235</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(类）教育管理事务（款）一般行政管理事务（项）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50</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50</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(类）教育管理事务（款）其他教育管理事务支出（项）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(类）普通教育（款）学前教育（项）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3845.15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3845.15</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(类）普通教育（款）小学教育（项）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15067.21</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15067.21</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(类）普通教育（款）初中教育（项）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3773.58</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3773.58</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(类）普通教育（款）高中教育（项）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1340.06</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1340.06</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(类）普通教育（款）高等教育（项）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(类）普通教育（款）其他普通教育支出（项）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5485.23</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5485.23</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(类）职业教育（款）中专教育（项）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892</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892</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(类）职业教育（款）职业高中教育（项）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581.03</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581.03</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(类）职业教育（款）其他职业教育支出（项）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115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115</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(类）进修及培训（款）培训支出（项）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236</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236</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(类）教育费附加安排的支出（款）其他教育费附加安排的支出（项）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2254</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2254</w:t>
      </w:r>
      <w:r>
        <w:rPr>
          <w:rFonts w:hint="eastAsia" w:ascii="华文仿宋" w:hAnsi="华文仿宋" w:eastAsia="华文仿宋" w:cs="华文仿宋"/>
          <w:sz w:val="32"/>
          <w:szCs w:val="32"/>
        </w:rPr>
        <w:t>万元，完成年初预算的100%。</w:t>
      </w:r>
    </w:p>
    <w:p>
      <w:pPr>
        <w:shd w:val="clea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b/>
          <w:bCs/>
          <w:sz w:val="32"/>
          <w:szCs w:val="32"/>
        </w:rPr>
        <w:t>社会保障和就业支出</w:t>
      </w:r>
      <w:r>
        <w:rPr>
          <w:rFonts w:hint="eastAsia" w:ascii="华文仿宋" w:hAnsi="华文仿宋" w:eastAsia="华文仿宋" w:cs="华文仿宋"/>
          <w:b/>
          <w:bCs/>
          <w:sz w:val="32"/>
          <w:szCs w:val="32"/>
          <w:lang w:val="en-US" w:eastAsia="zh-CN"/>
        </w:rPr>
        <w:t>(类）行政事业单位离退休（款）机关事业单位基本养老保险缴费支出（项）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21.15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21.15</w:t>
      </w:r>
      <w:r>
        <w:rPr>
          <w:rFonts w:hint="eastAsia" w:ascii="华文仿宋" w:hAnsi="华文仿宋" w:eastAsia="华文仿宋" w:cs="华文仿宋"/>
          <w:sz w:val="32"/>
          <w:szCs w:val="32"/>
        </w:rPr>
        <w:t>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2019年度一般公共预算财政拨款基本支出10837.41万元。</w:t>
      </w:r>
      <w:r>
        <w:rPr>
          <w:rFonts w:hint="eastAsia" w:ascii="仿宋_GB2312" w:hAnsi="仿宋_GB2312" w:eastAsia="仿宋_GB2312" w:cs="仿宋_GB2312"/>
          <w:sz w:val="32"/>
          <w:szCs w:val="32"/>
        </w:rPr>
        <w:t>与上年度相比，增加</w:t>
      </w:r>
      <w:r>
        <w:rPr>
          <w:rFonts w:hint="eastAsia" w:ascii="仿宋_GB2312" w:hAnsi="仿宋_GB2312" w:eastAsia="仿宋_GB2312" w:cs="仿宋_GB2312"/>
          <w:sz w:val="32"/>
          <w:szCs w:val="32"/>
          <w:lang w:val="en-US" w:eastAsia="zh-CN"/>
        </w:rPr>
        <w:t>6372.74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142.7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bidi="ar"/>
        </w:rPr>
        <w:t>增补绩效总量和人员经费增长</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b w:val="0"/>
          <w:bCs w:val="0"/>
          <w:color w:val="auto"/>
          <w:sz w:val="32"/>
          <w:szCs w:val="32"/>
          <w:highlight w:val="none"/>
          <w:lang w:val="en-US" w:eastAsia="zh-CN"/>
        </w:rPr>
        <w:t>人员经费6389.35万元，主要包括：基本工资、津贴补贴、绩效工资、机关事业单位基本养老保险缴费、生活补助、奖励金；公用经费4448.06万元，主要包括：办公费、印刷费、咨询费、水费、电费、邮电费、物业管理费、差旅费、维修（护）费、租赁费、会议费、培训费、专用材 料费、劳务费、工会经费、福利费、公务用车运行维护费、其他交通费用、其他商品和服务、其他资本性支出等。</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2019年度“三公”经费财政拨款支出预算为0.78万元，支出决算为0.78万元，完成预算的100%。。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2"/>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初预算为0.78万元，支出决算为0.78万元，完成年初预算的100%。其中：</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0.78万元。2018年期末，部门开支财政拨款的公务用车保有量为1辆。</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w:t>
      </w:r>
      <w:bookmarkStart w:id="0" w:name="_GoBack"/>
      <w:bookmarkEnd w:id="0"/>
      <w:r>
        <w:rPr>
          <w:rFonts w:hint="eastAsia" w:ascii="仿宋_GB2312" w:hAnsi="仿宋_GB2312" w:eastAsia="仿宋_GB2312" w:cs="仿宋_GB2312"/>
          <w:color w:val="auto"/>
          <w:sz w:val="32"/>
          <w:szCs w:val="32"/>
          <w:highlight w:val="none"/>
          <w:lang w:val="en-US" w:eastAsia="zh-CN"/>
        </w:rPr>
        <w:t>年共接待国内来访团组0个、来宾0人次（不包括陪同人员）。</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p>
    <w:p>
      <w:pPr>
        <w:pStyle w:val="3"/>
        <w:shd w:val="clear"/>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按照有关要求，2019年，对市财政转移支付的项目经费 全部纳入绩效目标管理，实现全覆盖。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项目立项比较规范，绩效目标明确，预算编制较为合理， 完成情况良好，基本达到预期绩效目标。</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3"/>
        </w:numPr>
        <w:shd w:val="clea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2019</w:t>
      </w:r>
      <w:r>
        <w:rPr>
          <w:rFonts w:hint="eastAsia" w:ascii="华文仿宋" w:hAnsi="华文仿宋" w:eastAsia="华文仿宋" w:cs="华文仿宋"/>
          <w:sz w:val="32"/>
          <w:szCs w:val="32"/>
        </w:rPr>
        <w:t xml:space="preserve"> 年度政府性基金预算财政拨款支出年初预算为</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万元，完成年初预算的</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numPr>
          <w:ilvl w:val="0"/>
          <w:numId w:val="3"/>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初预算为3173.69万元，支出决算为3173.69万元，完成年初预算的100%。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支出</w:t>
      </w:r>
      <w:r>
        <w:rPr>
          <w:rFonts w:hint="eastAsia" w:ascii="仿宋_GB2312" w:hAnsi="仿宋_GB2312" w:eastAsia="仿宋_GB2312" w:cs="仿宋_GB2312"/>
          <w:color w:val="auto"/>
          <w:sz w:val="32"/>
          <w:szCs w:val="32"/>
          <w:highlight w:val="none"/>
          <w:lang w:val="en-US" w:eastAsia="zh-CN"/>
        </w:rPr>
        <w:t>为3173.69万元，与上年度相比，机关运行经费支出增加1814.23元，增加133.4%，主要原因是人员经费增加</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3"/>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政府采购支出情况说明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shd w:val="clear"/>
        <w:rPr>
          <w:rFonts w:hint="eastAsia" w:ascii="华文仿宋" w:hAnsi="华文仿宋" w:eastAsia="华文仿宋" w:cs="华文仿宋"/>
          <w:sz w:val="32"/>
          <w:szCs w:val="32"/>
        </w:rPr>
      </w:pPr>
    </w:p>
    <w:p>
      <w:pPr>
        <w:numPr>
          <w:ilvl w:val="0"/>
          <w:numId w:val="4"/>
        </w:numPr>
        <w:shd w:val="clear"/>
        <w:jc w:val="center"/>
        <w:rPr>
          <w:rFonts w:hint="eastAsia" w:ascii="黑体" w:hAnsi="黑体" w:eastAsia="黑体" w:cs="黑体"/>
          <w:sz w:val="44"/>
          <w:szCs w:val="44"/>
        </w:rPr>
      </w:pPr>
      <w:r>
        <w:rPr>
          <w:rFonts w:hint="eastAsia" w:ascii="黑体" w:hAnsi="黑体" w:eastAsia="黑体" w:cs="黑体"/>
          <w:sz w:val="44"/>
          <w:szCs w:val="44"/>
        </w:rPr>
        <w:t>名词解释</w:t>
      </w: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center"/>
        <w:rPr>
          <w:rFonts w:hint="eastAsia" w:ascii="黑体" w:hAnsi="黑体" w:eastAsia="黑体" w:cs="黑体"/>
          <w:sz w:val="44"/>
          <w:szCs w:val="44"/>
        </w:rPr>
      </w:pPr>
    </w:p>
    <w:p>
      <w:pPr>
        <w:widowControl w:val="0"/>
        <w:numPr>
          <w:ilvl w:val="0"/>
          <w:numId w:val="0"/>
        </w:numPr>
        <w:shd w:val="clear"/>
        <w:jc w:val="both"/>
        <w:rPr>
          <w:rFonts w:hint="eastAsia" w:ascii="黑体" w:hAnsi="黑体" w:eastAsia="黑体" w:cs="黑体"/>
          <w:sz w:val="44"/>
          <w:szCs w:val="44"/>
        </w:rPr>
      </w:pPr>
    </w:p>
    <w:p>
      <w:pPr>
        <w:shd w:val="clear"/>
        <w:ind w:firstLine="640" w:firstLineChars="200"/>
        <w:rPr>
          <w:rFonts w:hint="eastAsia" w:ascii="华文仿宋" w:hAnsi="华文仿宋" w:eastAsia="华文仿宋" w:cs="华文仿宋"/>
          <w:sz w:val="32"/>
          <w:szCs w:val="32"/>
        </w:rPr>
      </w:pP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一、财政拨款收入：</w:t>
      </w:r>
      <w:r>
        <w:rPr>
          <w:rFonts w:hint="eastAsia" w:ascii="华文仿宋" w:hAnsi="华文仿宋" w:eastAsia="华文仿宋" w:cs="华文仿宋"/>
          <w:sz w:val="32"/>
          <w:szCs w:val="32"/>
        </w:rPr>
        <w:t>单位从同级政府财政部门取得的各类财政拨款。</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二、事业收入：</w:t>
      </w:r>
      <w:r>
        <w:rPr>
          <w:rFonts w:hint="eastAsia" w:ascii="华文仿宋" w:hAnsi="华文仿宋" w:eastAsia="华文仿宋" w:cs="华文仿宋"/>
          <w:sz w:val="32"/>
          <w:szCs w:val="32"/>
        </w:rPr>
        <w:t>事业单位开展专业业务活动及其辅助活动取得的收入。</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三、上级补助收入：</w:t>
      </w:r>
      <w:r>
        <w:rPr>
          <w:rFonts w:hint="eastAsia" w:ascii="华文仿宋" w:hAnsi="华文仿宋" w:eastAsia="华文仿宋" w:cs="华文仿宋"/>
          <w:sz w:val="32"/>
          <w:szCs w:val="32"/>
        </w:rPr>
        <w:t>事业单位从主管部门和上级单位取得的非财政补助收入。</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四、附属单位上缴收入：</w:t>
      </w:r>
      <w:r>
        <w:rPr>
          <w:rFonts w:hint="eastAsia" w:ascii="华文仿宋" w:hAnsi="华文仿宋" w:eastAsia="华文仿宋" w:cs="华文仿宋"/>
          <w:sz w:val="32"/>
          <w:szCs w:val="32"/>
        </w:rPr>
        <w:t>事业单位取得附属独立核算单位根据有关规定上缴的收入。</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五、经营收入：</w:t>
      </w:r>
      <w:r>
        <w:rPr>
          <w:rFonts w:hint="eastAsia" w:ascii="华文仿宋" w:hAnsi="华文仿宋" w:eastAsia="华文仿宋" w:cs="华文仿宋"/>
          <w:sz w:val="32"/>
          <w:szCs w:val="32"/>
        </w:rPr>
        <w:t>事业单位在专业业务活动及其辅助活动之外开展非独立核算经营活动取得的收入。</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六、其他收入：</w:t>
      </w:r>
      <w:r>
        <w:rPr>
          <w:rFonts w:hint="eastAsia" w:ascii="华文仿宋" w:hAnsi="华文仿宋" w:eastAsia="华文仿宋" w:cs="华文仿宋"/>
          <w:sz w:val="32"/>
          <w:szCs w:val="32"/>
        </w:rPr>
        <w:t>单位取得的除“财政拨款收入”、“事业收入”、“上级补助收入”、“附属单位上缴收入”、“经营收入” 等以外的收入。</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七、用事业基金弥补收支差额：</w:t>
      </w:r>
      <w:r>
        <w:rPr>
          <w:rFonts w:hint="eastAsia" w:ascii="华文仿宋" w:hAnsi="华文仿宋" w:eastAsia="华文仿宋" w:cs="华文仿宋"/>
          <w:sz w:val="32"/>
          <w:szCs w:val="32"/>
        </w:rPr>
        <w:t>事业单位在当年收入不足以安排当年支出的情况下，使用以前年度积累的事业基金（事业单位当年收支相抵后按国家规定提取、用于弥补以后年度收支差额的基金）弥补当年收支缺口的资金。</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八、基本支出：</w:t>
      </w:r>
      <w:r>
        <w:rPr>
          <w:rFonts w:hint="eastAsia" w:ascii="华文仿宋" w:hAnsi="华文仿宋" w:eastAsia="华文仿宋" w:cs="华文仿宋"/>
          <w:sz w:val="32"/>
          <w:szCs w:val="32"/>
        </w:rPr>
        <w:t>为保障机构正常运转、完成日常工作任务而发生的人员支出和公用支出。</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九、项目支出：</w:t>
      </w:r>
      <w:r>
        <w:rPr>
          <w:rFonts w:hint="eastAsia" w:ascii="华文仿宋" w:hAnsi="华文仿宋" w:eastAsia="华文仿宋" w:cs="华文仿宋"/>
          <w:sz w:val="32"/>
          <w:szCs w:val="32"/>
        </w:rPr>
        <w:t>基本支出之外为完成特定行政任务和事业发展目标所发生的支出。</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十、“三公”经费：</w:t>
      </w:r>
      <w:r>
        <w:rPr>
          <w:rFonts w:hint="eastAsia" w:ascii="华文仿宋" w:hAnsi="华文仿宋" w:eastAsia="华文仿宋" w:cs="华文仿宋"/>
          <w:sz w:val="32"/>
          <w:szCs w:val="32"/>
        </w:rPr>
        <w:t>纳入同级财政预决算管理“三公”经费， 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 过路过桥费、保险费、安全奖励费用等支出；公务接待费反映单位按规定开支的各类公务接待（含外宾接待）支出。</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十一、机关运行经费：</w:t>
      </w:r>
      <w:r>
        <w:rPr>
          <w:rFonts w:hint="eastAsia" w:ascii="华文仿宋" w:hAnsi="华文仿宋" w:eastAsia="华文仿宋" w:cs="华文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十二、工资福利支出：</w:t>
      </w:r>
      <w:r>
        <w:rPr>
          <w:rFonts w:hint="eastAsia" w:ascii="华文仿宋" w:hAnsi="华文仿宋" w:eastAsia="华文仿宋" w:cs="华文仿宋"/>
          <w:sz w:val="32"/>
          <w:szCs w:val="32"/>
        </w:rPr>
        <w:t>单位支付给在职职工和编制外长期聘用人员的各类劳动报酬，以及为上述人员缴纳的各项社会保险费 等。</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十三、商品和服务支出：</w:t>
      </w:r>
      <w:r>
        <w:rPr>
          <w:rFonts w:hint="eastAsia" w:ascii="华文仿宋" w:hAnsi="华文仿宋" w:eastAsia="华文仿宋" w:cs="华文仿宋"/>
          <w:sz w:val="32"/>
          <w:szCs w:val="32"/>
        </w:rPr>
        <w:t>单位购买商品和服务的支出。</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十四、对个人和家庭的补助支出：</w:t>
      </w:r>
      <w:r>
        <w:rPr>
          <w:rFonts w:hint="eastAsia" w:ascii="华文仿宋" w:hAnsi="华文仿宋" w:eastAsia="华文仿宋" w:cs="华文仿宋"/>
          <w:sz w:val="32"/>
          <w:szCs w:val="32"/>
        </w:rPr>
        <w:t>单位用于对个人和家庭的补助支出。</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十五、年末结转：</w:t>
      </w:r>
      <w:r>
        <w:rPr>
          <w:rFonts w:hint="eastAsia" w:ascii="华文仿宋" w:hAnsi="华文仿宋" w:eastAsia="华文仿宋" w:cs="华文仿宋"/>
          <w:sz w:val="32"/>
          <w:szCs w:val="32"/>
        </w:rPr>
        <w:t>本年度或以前年度预算安排，已执行但尚未完成或因客观条件发生变化无法按原计划实施，需延迟到以后年度按有关规定继续使用的资金。</w:t>
      </w:r>
    </w:p>
    <w:p>
      <w:pPr>
        <w:shd w:val="clea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十六、年末结余：</w:t>
      </w:r>
      <w:r>
        <w:rPr>
          <w:rFonts w:hint="eastAsia" w:ascii="华文仿宋" w:hAnsi="华文仿宋" w:eastAsia="华文仿宋" w:cs="华文仿宋"/>
          <w:sz w:val="32"/>
          <w:szCs w:val="32"/>
        </w:rPr>
        <w:t>本年度或以前年度预算安排，已执行完毕 或因客观条件发生变化无法按原预算安排实施，不需要再使用或 无法按原预算安排继续使用的资金。</w:t>
      </w:r>
    </w:p>
    <w:p>
      <w:pPr>
        <w:shd w:val="clear"/>
        <w:rPr>
          <w:rFonts w:hint="eastAsia" w:eastAsia="宋体"/>
          <w:lang w:val="en-US" w:eastAsia="zh-CN"/>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7A6CE"/>
    <w:multiLevelType w:val="singleLevel"/>
    <w:tmpl w:val="D487A6CE"/>
    <w:lvl w:ilvl="0" w:tentative="0">
      <w:start w:val="1"/>
      <w:numFmt w:val="decimal"/>
      <w:suff w:val="nothing"/>
      <w:lvlText w:val="%1．"/>
      <w:lvlJc w:val="left"/>
      <w:pPr>
        <w:ind w:left="-13"/>
      </w:pPr>
    </w:lvl>
  </w:abstractNum>
  <w:abstractNum w:abstractNumId="1">
    <w:nsid w:val="1324DDE0"/>
    <w:multiLevelType w:val="singleLevel"/>
    <w:tmpl w:val="1324DDE0"/>
    <w:lvl w:ilvl="0" w:tentative="0">
      <w:start w:val="4"/>
      <w:numFmt w:val="chineseCounting"/>
      <w:lvlText w:val="第%1部分"/>
      <w:lvlJc w:val="left"/>
      <w:rPr>
        <w:rFonts w:hint="eastAsia"/>
      </w:rPr>
    </w:lvl>
  </w:abstractNum>
  <w:abstractNum w:abstractNumId="2">
    <w:nsid w:val="24B2DA00"/>
    <w:multiLevelType w:val="singleLevel"/>
    <w:tmpl w:val="24B2DA00"/>
    <w:lvl w:ilvl="0" w:tentative="0">
      <w:start w:val="1"/>
      <w:numFmt w:val="decimal"/>
      <w:suff w:val="nothing"/>
      <w:lvlText w:val="%1．"/>
      <w:lvlJc w:val="left"/>
    </w:lvl>
  </w:abstractNum>
  <w:abstractNum w:abstractNumId="3">
    <w:nsid w:val="2E48F058"/>
    <w:multiLevelType w:val="singleLevel"/>
    <w:tmpl w:val="2E48F058"/>
    <w:lvl w:ilvl="0" w:tentative="0">
      <w:start w:val="9"/>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60527AE"/>
    <w:rsid w:val="0AF65585"/>
    <w:rsid w:val="0BA304CD"/>
    <w:rsid w:val="0BA626E9"/>
    <w:rsid w:val="0C685E17"/>
    <w:rsid w:val="0D9062E7"/>
    <w:rsid w:val="118F4A09"/>
    <w:rsid w:val="12F81E26"/>
    <w:rsid w:val="15905ECD"/>
    <w:rsid w:val="1B5D6A40"/>
    <w:rsid w:val="1C5C5DAD"/>
    <w:rsid w:val="1F2729EF"/>
    <w:rsid w:val="1F811484"/>
    <w:rsid w:val="20D95C2F"/>
    <w:rsid w:val="2655091A"/>
    <w:rsid w:val="26FB3DD6"/>
    <w:rsid w:val="2A240ABC"/>
    <w:rsid w:val="2A3B0F2C"/>
    <w:rsid w:val="2BAE6CF6"/>
    <w:rsid w:val="2CD7012E"/>
    <w:rsid w:val="2DD80C53"/>
    <w:rsid w:val="2DE5513E"/>
    <w:rsid w:val="2E642840"/>
    <w:rsid w:val="2E7E72B8"/>
    <w:rsid w:val="2F124E7D"/>
    <w:rsid w:val="2F9F1BCA"/>
    <w:rsid w:val="2FD3060D"/>
    <w:rsid w:val="31EE2784"/>
    <w:rsid w:val="33C7781A"/>
    <w:rsid w:val="345008C0"/>
    <w:rsid w:val="387927B5"/>
    <w:rsid w:val="394F7FC6"/>
    <w:rsid w:val="3E396404"/>
    <w:rsid w:val="3E8A5D1C"/>
    <w:rsid w:val="3ECC5C74"/>
    <w:rsid w:val="3F2614DF"/>
    <w:rsid w:val="3F3D2C6D"/>
    <w:rsid w:val="3F5039B1"/>
    <w:rsid w:val="48056DC3"/>
    <w:rsid w:val="484D240A"/>
    <w:rsid w:val="484D4CE6"/>
    <w:rsid w:val="48C13615"/>
    <w:rsid w:val="4A3C0CDD"/>
    <w:rsid w:val="4D3D47C6"/>
    <w:rsid w:val="4E7E7521"/>
    <w:rsid w:val="4F702056"/>
    <w:rsid w:val="4F9F0EE1"/>
    <w:rsid w:val="4FC10099"/>
    <w:rsid w:val="50C8334B"/>
    <w:rsid w:val="536A1A37"/>
    <w:rsid w:val="53C37ABB"/>
    <w:rsid w:val="55913F82"/>
    <w:rsid w:val="56E244BA"/>
    <w:rsid w:val="5764416B"/>
    <w:rsid w:val="594B26A6"/>
    <w:rsid w:val="5A113A87"/>
    <w:rsid w:val="5BBF33CD"/>
    <w:rsid w:val="5CC608EC"/>
    <w:rsid w:val="5D914E11"/>
    <w:rsid w:val="5DF53F65"/>
    <w:rsid w:val="5E4132F7"/>
    <w:rsid w:val="5E962EC4"/>
    <w:rsid w:val="5F152507"/>
    <w:rsid w:val="606D3F2E"/>
    <w:rsid w:val="61A51105"/>
    <w:rsid w:val="63056908"/>
    <w:rsid w:val="66132327"/>
    <w:rsid w:val="6B227233"/>
    <w:rsid w:val="6D101368"/>
    <w:rsid w:val="6DB85AED"/>
    <w:rsid w:val="6E2D0B6D"/>
    <w:rsid w:val="6EB920CF"/>
    <w:rsid w:val="6F4F642F"/>
    <w:rsid w:val="6F640286"/>
    <w:rsid w:val="70A5469B"/>
    <w:rsid w:val="71C52037"/>
    <w:rsid w:val="722707FA"/>
    <w:rsid w:val="72567CE5"/>
    <w:rsid w:val="747475CC"/>
    <w:rsid w:val="74D35116"/>
    <w:rsid w:val="75170D8A"/>
    <w:rsid w:val="75265254"/>
    <w:rsid w:val="78C018EE"/>
    <w:rsid w:val="78E64AB9"/>
    <w:rsid w:val="7AC768B6"/>
    <w:rsid w:val="7E07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2021-06-09T10:04:50Z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003D3A1B891641298F7D0FABB7FBD0E9</vt:lpwstr>
  </property>
</Properties>
</file>