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w:t>
      </w:r>
      <w:r>
        <w:rPr>
          <w:rFonts w:hint="eastAsia" w:ascii="黑体" w:hAnsi="黑体" w:eastAsia="黑体" w:cs="黑体"/>
          <w:color w:val="auto"/>
          <w:sz w:val="52"/>
          <w:szCs w:val="52"/>
          <w:highlight w:val="none"/>
          <w:lang w:val="en-US" w:eastAsia="zh-CN"/>
        </w:rPr>
        <w:t>9</w:t>
      </w:r>
      <w:r>
        <w:rPr>
          <w:rFonts w:hint="eastAsia" w:ascii="黑体" w:hAnsi="黑体" w:eastAsia="黑体" w:cs="黑体"/>
          <w:color w:val="auto"/>
          <w:sz w:val="52"/>
          <w:szCs w:val="52"/>
          <w:highlight w:val="none"/>
          <w:lang w:eastAsia="zh-CN"/>
        </w:rPr>
        <w:t>年度</w:t>
      </w:r>
    </w:p>
    <w:p>
      <w:pPr>
        <w:shd w:val="clea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濮阳县审计</w:t>
      </w:r>
      <w:r>
        <w:rPr>
          <w:rFonts w:hint="eastAsia" w:ascii="黑体" w:hAnsi="黑体" w:eastAsia="黑体" w:cs="黑体"/>
          <w:color w:val="auto"/>
          <w:sz w:val="52"/>
          <w:szCs w:val="52"/>
          <w:highlight w:val="none"/>
        </w:rPr>
        <w:t>局部门决算</w:t>
      </w:r>
    </w:p>
    <w:p>
      <w:pPr>
        <w:shd w:val="clear"/>
        <w:jc w:val="center"/>
        <w:rPr>
          <w:rFonts w:hint="eastAsia" w:ascii="黑体" w:hAnsi="黑体" w:eastAsia="黑体" w:cs="黑体"/>
          <w:color w:val="auto"/>
          <w:sz w:val="52"/>
          <w:szCs w:val="52"/>
          <w:highlight w:val="none"/>
        </w:rPr>
      </w:pPr>
    </w:p>
    <w:p>
      <w:pPr>
        <w:shd w:val="clear"/>
        <w:jc w:val="center"/>
        <w:rPr>
          <w:rFonts w:hint="eastAsia" w:ascii="黑体" w:hAnsi="黑体" w:eastAsia="黑体" w:cs="黑体"/>
          <w:color w:val="auto"/>
          <w:sz w:val="52"/>
          <w:szCs w:val="52"/>
          <w:highlight w:val="none"/>
        </w:rPr>
      </w:pPr>
    </w:p>
    <w:p>
      <w:pPr>
        <w:shd w:val="clear"/>
        <w:jc w:val="center"/>
        <w:rPr>
          <w:rFonts w:hint="eastAsia" w:ascii="黑体" w:hAnsi="黑体" w:eastAsia="黑体" w:cs="黑体"/>
          <w:color w:val="auto"/>
          <w:sz w:val="52"/>
          <w:szCs w:val="52"/>
          <w:highlight w:val="none"/>
        </w:rPr>
      </w:pPr>
    </w:p>
    <w:p>
      <w:pPr>
        <w:shd w:val="clear"/>
        <w:jc w:val="center"/>
        <w:rPr>
          <w:rFonts w:hint="eastAsia" w:ascii="黑体" w:hAnsi="黑体" w:eastAsia="黑体" w:cs="黑体"/>
          <w:color w:val="auto"/>
          <w:sz w:val="52"/>
          <w:szCs w:val="52"/>
          <w:highlight w:val="none"/>
        </w:rPr>
      </w:pPr>
    </w:p>
    <w:p>
      <w:pPr>
        <w:shd w:val="clear"/>
        <w:jc w:val="center"/>
        <w:rPr>
          <w:rFonts w:hint="eastAsia" w:ascii="黑体" w:hAnsi="黑体" w:eastAsia="黑体" w:cs="黑体"/>
          <w:color w:val="auto"/>
          <w:sz w:val="52"/>
          <w:szCs w:val="52"/>
          <w:highlight w:val="none"/>
        </w:rPr>
      </w:pPr>
    </w:p>
    <w:p>
      <w:pPr>
        <w:shd w:val="clear"/>
        <w:jc w:val="center"/>
        <w:rPr>
          <w:rFonts w:hint="eastAsia" w:ascii="黑体" w:hAnsi="黑体" w:eastAsia="黑体" w:cs="黑体"/>
          <w:color w:val="auto"/>
          <w:sz w:val="52"/>
          <w:szCs w:val="52"/>
          <w:highlight w:val="none"/>
        </w:rPr>
      </w:pPr>
    </w:p>
    <w:p>
      <w:pPr>
        <w:shd w:val="clea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二〇二〇年九月</w:t>
      </w:r>
    </w:p>
    <w:p>
      <w:pPr>
        <w:shd w:val="clea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shd w:val="clea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w:t>
      </w:r>
      <w:r>
        <w:rPr>
          <w:rFonts w:hint="eastAsia" w:ascii="黑体" w:hAnsi="黑体" w:eastAsia="黑体" w:cs="黑体"/>
          <w:color w:val="auto"/>
          <w:sz w:val="32"/>
          <w:szCs w:val="32"/>
          <w:highlight w:val="none"/>
          <w:lang w:val="en-US" w:eastAsia="zh-CN"/>
        </w:rPr>
        <w:t xml:space="preserve">   濮阳县审计</w:t>
      </w:r>
      <w:r>
        <w:rPr>
          <w:rFonts w:hint="eastAsia" w:ascii="黑体" w:hAnsi="黑体" w:eastAsia="黑体" w:cs="黑体"/>
          <w:color w:val="auto"/>
          <w:sz w:val="32"/>
          <w:szCs w:val="32"/>
          <w:highlight w:val="none"/>
        </w:rPr>
        <w:t>局概况</w:t>
      </w:r>
    </w:p>
    <w:p>
      <w:pPr>
        <w:numPr>
          <w:ilvl w:val="0"/>
          <w:numId w:val="1"/>
        </w:numPr>
        <w:shd w:val="clea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shd w:val="clea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shd w:val="clea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部门决算表</w:t>
      </w:r>
    </w:p>
    <w:p>
      <w:pPr>
        <w:shd w:val="clea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shd w:val="clea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shd w:val="clea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w:t>
      </w:r>
      <w:r>
        <w:rPr>
          <w:rFonts w:hint="eastAsia" w:ascii="黑体" w:hAnsi="黑体" w:eastAsia="黑体" w:cs="黑体"/>
          <w:color w:val="auto"/>
          <w:sz w:val="32"/>
          <w:szCs w:val="32"/>
          <w:highlight w:val="none"/>
          <w:lang w:val="en-US" w:eastAsia="zh-CN"/>
        </w:rPr>
        <w:t>9</w:t>
      </w:r>
      <w:r>
        <w:rPr>
          <w:rFonts w:hint="eastAsia" w:ascii="黑体" w:hAnsi="黑体" w:eastAsia="黑体" w:cs="黑体"/>
          <w:color w:val="auto"/>
          <w:sz w:val="32"/>
          <w:szCs w:val="32"/>
          <w:highlight w:val="none"/>
          <w:lang w:eastAsia="zh-CN"/>
        </w:rPr>
        <w:t>年度</w:t>
      </w:r>
      <w:r>
        <w:rPr>
          <w:rFonts w:hint="eastAsia" w:ascii="黑体" w:hAnsi="黑体" w:eastAsia="黑体" w:cs="黑体"/>
          <w:color w:val="auto"/>
          <w:sz w:val="32"/>
          <w:szCs w:val="32"/>
          <w:highlight w:val="none"/>
        </w:rPr>
        <w:t>部门决算情况说明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shd w:val="clea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shd w:val="clea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shd w:val="clea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shd w:val="clear"/>
        <w:ind w:firstLine="640" w:firstLineChars="200"/>
        <w:jc w:val="left"/>
        <w:rPr>
          <w:rFonts w:ascii="宋体" w:hAnsi="宋体" w:eastAsia="宋体" w:cs="宋体"/>
          <w:color w:val="auto"/>
          <w:sz w:val="32"/>
          <w:szCs w:val="32"/>
          <w:highlight w:val="none"/>
        </w:rPr>
      </w:pPr>
    </w:p>
    <w:p>
      <w:pPr>
        <w:shd w:val="clea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第一部分</w:t>
      </w:r>
      <w:r>
        <w:rPr>
          <w:rFonts w:hint="eastAsia" w:ascii="黑体" w:hAnsi="黑体" w:eastAsia="黑体" w:cs="黑体"/>
          <w:color w:val="auto"/>
          <w:sz w:val="48"/>
          <w:szCs w:val="48"/>
          <w:highlight w:val="none"/>
          <w:lang w:val="en-US" w:eastAsia="zh-CN"/>
        </w:rPr>
        <w:t xml:space="preserve">  濮阳县审计</w:t>
      </w:r>
      <w:r>
        <w:rPr>
          <w:rFonts w:hint="eastAsia" w:ascii="黑体" w:hAnsi="黑体" w:eastAsia="黑体" w:cs="黑体"/>
          <w:color w:val="auto"/>
          <w:sz w:val="48"/>
          <w:szCs w:val="48"/>
          <w:highlight w:val="none"/>
        </w:rPr>
        <w:t>局概况</w:t>
      </w: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shd w:val="clear"/>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shd w:val="clear"/>
        <w:spacing w:line="580" w:lineRule="exact"/>
        <w:rPr>
          <w:rFonts w:hint="eastAsia" w:ascii="仿宋_GB2312" w:hAnsi="仿宋" w:eastAsia="仿宋_GB2312"/>
          <w:bCs/>
          <w:sz w:val="32"/>
          <w:szCs w:val="32"/>
        </w:rPr>
      </w:pPr>
      <w:r>
        <w:rPr>
          <w:rFonts w:hint="eastAsia" w:ascii="仿宋_GB2312" w:hAnsi="仿宋" w:eastAsia="仿宋_GB2312"/>
          <w:bCs/>
          <w:sz w:val="32"/>
          <w:szCs w:val="32"/>
        </w:rPr>
        <w:t>（一）主管全县审计工作。负责对</w:t>
      </w:r>
      <w:r>
        <w:rPr>
          <w:rFonts w:hint="eastAsia" w:ascii="仿宋_GB2312" w:hAnsi="仿宋" w:eastAsia="仿宋_GB2312"/>
          <w:bCs/>
          <w:color w:val="000000"/>
          <w:sz w:val="32"/>
          <w:szCs w:val="32"/>
        </w:rPr>
        <w:t>党中央、国务院和省委、省政府、市委、市政府及县委、县政府</w:t>
      </w:r>
      <w:r>
        <w:rPr>
          <w:rFonts w:hint="eastAsia" w:ascii="仿宋_GB2312" w:hAnsi="仿宋" w:eastAsia="仿宋_GB2312"/>
          <w:bCs/>
          <w:sz w:val="32"/>
          <w:szCs w:val="32"/>
        </w:rPr>
        <w:t>有关重大政策措施贯彻落实情况进行跟踪审计，对全县财政收支和法律法规规定属于审计监督范围的财务收支的真实、合法和效益进行审计监督，对公共资金、国有资产、国有资源和领导干部履行经济责任情况实行审计全覆盖，对领导干部实行自然资源资产</w:t>
      </w:r>
      <w:r>
        <w:rPr>
          <w:rFonts w:hint="eastAsia" w:ascii="仿宋_GB2312" w:hAnsi="仿宋" w:eastAsia="仿宋_GB2312"/>
          <w:bCs/>
          <w:color w:val="000000"/>
          <w:sz w:val="32"/>
          <w:szCs w:val="32"/>
        </w:rPr>
        <w:t>离任及任中审计。</w:t>
      </w:r>
      <w:r>
        <w:rPr>
          <w:rFonts w:hint="eastAsia" w:ascii="仿宋_GB2312" w:hAnsi="仿宋" w:eastAsia="仿宋_GB2312"/>
          <w:bCs/>
          <w:sz w:val="32"/>
          <w:szCs w:val="32"/>
        </w:rPr>
        <w:t>对审计、专项审计调查和核查社会审计机构相关审计报告的结果承担责任，并负有督促被审计单位整改的责任。</w:t>
      </w:r>
    </w:p>
    <w:p>
      <w:pPr>
        <w:shd w:val="clea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（二）拟订审计制度并监督执行。拟订并组织实施审计工作发展规划和专业领域审计工作规划，拟订并组织实施年度审计计划。对直接审计、调查和核查的事项依法进行审计评价，作出审计决定或提出审计建议。</w:t>
      </w:r>
    </w:p>
    <w:p>
      <w:pPr>
        <w:shd w:val="clear"/>
        <w:spacing w:line="580" w:lineRule="exact"/>
        <w:rPr>
          <w:rFonts w:hint="eastAsia" w:ascii="仿宋_GB2312" w:hAnsi="仿宋" w:eastAsia="仿宋_GB2312"/>
          <w:bCs/>
          <w:sz w:val="32"/>
          <w:szCs w:val="32"/>
        </w:rPr>
      </w:pPr>
      <w:r>
        <w:rPr>
          <w:rFonts w:hint="eastAsia" w:ascii="仿宋_GB2312" w:hAnsi="仿宋" w:eastAsia="仿宋_GB2312"/>
          <w:bCs/>
          <w:sz w:val="32"/>
          <w:szCs w:val="32"/>
        </w:rPr>
        <w:t xml:space="preserve">    （三）向中共濮阳县委审计委员会提出年度县级预算执行和其他财政收支情况审计报告、审计查出问题整改情况报告和年度审计项目计划等审计重大事项。向县政府提出年度县级预算执行和其他财政收支的审计结果报告和审计查出问题整改情况报告。受县政府委托向县人大常委会提出县级预算执行和其他财政收支情况的审计工作报告、审计查出问题整改情况报告。向中共濮阳县委审计委员会和县政府报告其他事项的审计和专项审计调查情况及结果。依法向社会公布审计结果。向</w:t>
      </w:r>
      <w:r>
        <w:rPr>
          <w:rFonts w:hint="eastAsia" w:ascii="仿宋_GB2312" w:hAnsi="仿宋" w:eastAsia="仿宋_GB2312"/>
          <w:bCs/>
          <w:color w:val="000000"/>
          <w:sz w:val="32"/>
          <w:szCs w:val="32"/>
        </w:rPr>
        <w:t>县委、县政府有关部门和乡（镇）党委政府</w:t>
      </w:r>
      <w:r>
        <w:rPr>
          <w:rFonts w:hint="eastAsia" w:ascii="仿宋_GB2312" w:hAnsi="仿宋" w:eastAsia="仿宋_GB2312"/>
          <w:bCs/>
          <w:sz w:val="32"/>
          <w:szCs w:val="32"/>
        </w:rPr>
        <w:t>通报审计情况和审计结果。</w:t>
      </w:r>
    </w:p>
    <w:p>
      <w:pPr>
        <w:shd w:val="clear"/>
        <w:spacing w:line="60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（四）直接审计下列事项，出具审计报告，在法定职权范围内作出审计决定或向有关主管机关提出有关处理处罚建议:</w:t>
      </w:r>
    </w:p>
    <w:p>
      <w:pPr>
        <w:shd w:val="clear"/>
        <w:spacing w:line="600" w:lineRule="exact"/>
        <w:rPr>
          <w:rFonts w:ascii="仿宋_GB2312" w:hAnsi="仿宋" w:eastAsia="仿宋_GB2312"/>
          <w:bCs/>
          <w:sz w:val="32"/>
          <w:szCs w:val="32"/>
        </w:rPr>
      </w:pPr>
      <w:r>
        <w:rPr>
          <w:rFonts w:hint="eastAsia" w:ascii="仿宋_GB2312" w:hAnsi="仿宋" w:eastAsia="仿宋_GB2312"/>
          <w:bCs/>
          <w:sz w:val="32"/>
          <w:szCs w:val="32"/>
        </w:rPr>
        <w:t xml:space="preserve">    1. </w:t>
      </w:r>
      <w:r>
        <w:rPr>
          <w:rFonts w:hint="eastAsia" w:ascii="仿宋_GB2312" w:hAnsi="仿宋" w:eastAsia="仿宋_GB2312"/>
          <w:bCs/>
          <w:color w:val="000000"/>
          <w:sz w:val="32"/>
          <w:szCs w:val="32"/>
        </w:rPr>
        <w:t>党中央、国务院和省委、省政府、市委、市政府及县委、县政府</w:t>
      </w:r>
      <w:r>
        <w:rPr>
          <w:rFonts w:hint="eastAsia" w:ascii="仿宋_GB2312" w:hAnsi="仿宋" w:eastAsia="仿宋_GB2312"/>
          <w:bCs/>
          <w:sz w:val="32"/>
          <w:szCs w:val="32"/>
        </w:rPr>
        <w:t>有关重大政策措施贯彻落实情况。</w:t>
      </w:r>
    </w:p>
    <w:p>
      <w:pPr>
        <w:shd w:val="clear"/>
        <w:spacing w:line="600" w:lineRule="exact"/>
        <w:rPr>
          <w:rFonts w:ascii="仿宋_GB2312" w:hAnsi="仿宋" w:eastAsia="仿宋_GB2312"/>
          <w:bCs/>
          <w:sz w:val="32"/>
          <w:szCs w:val="32"/>
        </w:rPr>
      </w:pPr>
      <w:r>
        <w:rPr>
          <w:rFonts w:hint="eastAsia" w:ascii="仿宋_GB2312" w:hAnsi="仿宋" w:eastAsia="仿宋_GB2312"/>
          <w:bCs/>
          <w:sz w:val="32"/>
          <w:szCs w:val="32"/>
        </w:rPr>
        <w:t xml:space="preserve">    2. 县级预算执行情况和其他财政收支，县委、县政府各部门(含直属单位)预算执行情况、决算和其他财政收支。</w:t>
      </w:r>
    </w:p>
    <w:p>
      <w:pPr>
        <w:shd w:val="clear"/>
        <w:spacing w:line="600" w:lineRule="exact"/>
        <w:rPr>
          <w:rFonts w:ascii="仿宋_GB2312" w:hAnsi="仿宋" w:eastAsia="仿宋_GB2312"/>
          <w:bCs/>
          <w:sz w:val="32"/>
          <w:szCs w:val="32"/>
        </w:rPr>
      </w:pPr>
      <w:r>
        <w:rPr>
          <w:rFonts w:hint="eastAsia" w:ascii="仿宋_GB2312" w:hAnsi="仿宋" w:eastAsia="仿宋_GB2312"/>
          <w:bCs/>
          <w:sz w:val="32"/>
          <w:szCs w:val="32"/>
        </w:rPr>
        <w:t xml:space="preserve">    3. </w:t>
      </w:r>
      <w:r>
        <w:rPr>
          <w:rFonts w:hint="eastAsia" w:ascii="仿宋_GB2312" w:hAnsi="仿宋" w:eastAsia="仿宋_GB2312"/>
          <w:bCs/>
          <w:color w:val="000000"/>
          <w:sz w:val="32"/>
          <w:szCs w:val="32"/>
        </w:rPr>
        <w:t>乡（镇）政府</w:t>
      </w:r>
      <w:r>
        <w:rPr>
          <w:rFonts w:hint="eastAsia" w:ascii="仿宋_GB2312" w:hAnsi="仿宋" w:eastAsia="仿宋_GB2312"/>
          <w:bCs/>
          <w:sz w:val="32"/>
          <w:szCs w:val="32"/>
        </w:rPr>
        <w:t>预算执行情况、决算和其他财政收支，县级财政转移支付资金。</w:t>
      </w:r>
    </w:p>
    <w:p>
      <w:pPr>
        <w:shd w:val="clear"/>
        <w:spacing w:line="600" w:lineRule="exact"/>
        <w:rPr>
          <w:rFonts w:ascii="仿宋_GB2312" w:hAnsi="仿宋" w:eastAsia="仿宋_GB2312"/>
          <w:bCs/>
          <w:sz w:val="32"/>
          <w:szCs w:val="32"/>
        </w:rPr>
      </w:pPr>
      <w:r>
        <w:rPr>
          <w:rFonts w:hint="eastAsia" w:ascii="仿宋_GB2312" w:hAnsi="仿宋" w:eastAsia="仿宋_GB2312"/>
          <w:bCs/>
          <w:sz w:val="32"/>
          <w:szCs w:val="32"/>
        </w:rPr>
        <w:t xml:space="preserve">    4. 使用县级财政资金的事业单位和社会团体的财务收支。</w:t>
      </w:r>
    </w:p>
    <w:p>
      <w:pPr>
        <w:shd w:val="clear"/>
        <w:spacing w:line="600" w:lineRule="exact"/>
        <w:rPr>
          <w:rFonts w:ascii="仿宋_GB2312" w:hAnsi="仿宋" w:eastAsia="仿宋_GB2312"/>
          <w:bCs/>
          <w:sz w:val="32"/>
          <w:szCs w:val="32"/>
        </w:rPr>
      </w:pPr>
      <w:r>
        <w:rPr>
          <w:rFonts w:hint="eastAsia" w:ascii="仿宋_GB2312" w:hAnsi="仿宋" w:eastAsia="仿宋_GB2312"/>
          <w:bCs/>
          <w:sz w:val="32"/>
          <w:szCs w:val="32"/>
        </w:rPr>
        <w:t xml:space="preserve">    5. 县级投资和以县级投资为主的建设项目的预算执行情况和决算，县级重大公共工程项目的资金管理使用和建设运营情况。</w:t>
      </w:r>
    </w:p>
    <w:p>
      <w:pPr>
        <w:shd w:val="clear"/>
        <w:spacing w:line="600" w:lineRule="exact"/>
        <w:rPr>
          <w:rFonts w:ascii="仿宋_GB2312" w:hAnsi="仿宋" w:eastAsia="仿宋_GB2312"/>
          <w:bCs/>
          <w:sz w:val="32"/>
          <w:szCs w:val="32"/>
        </w:rPr>
      </w:pPr>
      <w:r>
        <w:rPr>
          <w:rFonts w:hint="eastAsia" w:ascii="仿宋_GB2312" w:hAnsi="仿宋" w:eastAsia="仿宋_GB2312"/>
          <w:bCs/>
          <w:sz w:val="32"/>
          <w:szCs w:val="32"/>
        </w:rPr>
        <w:t xml:space="preserve">    6. 自然资源管理、污染防治和生态保护与修复情况。</w:t>
      </w:r>
    </w:p>
    <w:p>
      <w:pPr>
        <w:shd w:val="clear"/>
        <w:spacing w:line="600" w:lineRule="exact"/>
        <w:rPr>
          <w:rFonts w:ascii="仿宋_GB2312" w:hAnsi="仿宋" w:eastAsia="仿宋_GB2312"/>
          <w:bCs/>
          <w:sz w:val="32"/>
          <w:szCs w:val="32"/>
        </w:rPr>
      </w:pPr>
      <w:r>
        <w:rPr>
          <w:rFonts w:hint="eastAsia" w:ascii="仿宋_GB2312" w:hAnsi="仿宋" w:eastAsia="仿宋_GB2312"/>
          <w:bCs/>
          <w:sz w:val="32"/>
          <w:szCs w:val="32"/>
        </w:rPr>
        <w:t xml:space="preserve">    7. 县属国有企业和金融机构、县政府规定的县属国有资本占控股或主导地位的企业和金融机构境内外资产、负债和损益，县委、县政府驻外非经营性机构的财务收支。</w:t>
      </w:r>
    </w:p>
    <w:p>
      <w:pPr>
        <w:shd w:val="clear"/>
        <w:spacing w:line="600" w:lineRule="exact"/>
        <w:rPr>
          <w:rFonts w:ascii="仿宋_GB2312" w:hAnsi="仿宋" w:eastAsia="仿宋_GB2312"/>
          <w:bCs/>
          <w:sz w:val="32"/>
          <w:szCs w:val="32"/>
        </w:rPr>
      </w:pPr>
      <w:r>
        <w:rPr>
          <w:rFonts w:hint="eastAsia" w:ascii="仿宋_GB2312" w:hAnsi="仿宋" w:eastAsia="仿宋_GB2312"/>
          <w:bCs/>
          <w:sz w:val="32"/>
          <w:szCs w:val="32"/>
        </w:rPr>
        <w:t xml:space="preserve">    8. </w:t>
      </w:r>
      <w:r>
        <w:rPr>
          <w:rFonts w:hint="eastAsia" w:ascii="仿宋_GB2312" w:hAnsi="仿宋" w:eastAsia="仿宋_GB2312"/>
          <w:bCs/>
          <w:color w:val="000000"/>
          <w:sz w:val="32"/>
          <w:szCs w:val="32"/>
        </w:rPr>
        <w:t>乡（镇）政府和县政府部门</w:t>
      </w:r>
      <w:r>
        <w:rPr>
          <w:rFonts w:hint="eastAsia" w:ascii="仿宋_GB2312" w:hAnsi="仿宋" w:eastAsia="仿宋_GB2312"/>
          <w:bCs/>
          <w:sz w:val="32"/>
          <w:szCs w:val="32"/>
        </w:rPr>
        <w:t>管理，其他单位受县政府及其部门委托管理的社会保障基金、社会捐赠资金及其他有关基金、资金的财务收支。</w:t>
      </w:r>
    </w:p>
    <w:p>
      <w:pPr>
        <w:shd w:val="clear"/>
        <w:spacing w:line="600" w:lineRule="exact"/>
        <w:rPr>
          <w:rFonts w:ascii="仿宋_GB2312" w:hAnsi="仿宋" w:eastAsia="仿宋_GB2312"/>
          <w:bCs/>
          <w:sz w:val="32"/>
          <w:szCs w:val="32"/>
        </w:rPr>
      </w:pPr>
      <w:r>
        <w:rPr>
          <w:rFonts w:hint="eastAsia" w:ascii="仿宋_GB2312" w:hAnsi="仿宋" w:eastAsia="仿宋_GB2312"/>
          <w:bCs/>
          <w:sz w:val="32"/>
          <w:szCs w:val="32"/>
        </w:rPr>
        <w:t xml:space="preserve">    9. 国际组织和外国政府援助、贷款项目。</w:t>
      </w:r>
    </w:p>
    <w:p>
      <w:pPr>
        <w:shd w:val="clear"/>
        <w:spacing w:line="600" w:lineRule="exact"/>
        <w:ind w:firstLine="645"/>
        <w:rPr>
          <w:rFonts w:hint="eastAsia" w:ascii="仿宋_GB2312" w:hAnsi="仿宋" w:eastAsia="仿宋_GB2312"/>
          <w:bCs/>
          <w:sz w:val="32"/>
          <w:szCs w:val="32"/>
        </w:rPr>
      </w:pPr>
      <w:r>
        <w:rPr>
          <w:rFonts w:hint="eastAsia" w:ascii="仿宋_GB2312" w:hAnsi="仿宋" w:eastAsia="仿宋_GB2312"/>
          <w:bCs/>
          <w:sz w:val="32"/>
          <w:szCs w:val="32"/>
        </w:rPr>
        <w:t>10. 法律、行政法规和地方性法规规定应由县级审计机构审计的其他事项。</w:t>
      </w:r>
    </w:p>
    <w:p>
      <w:pPr>
        <w:shd w:val="clear"/>
        <w:spacing w:line="580" w:lineRule="exact"/>
        <w:rPr>
          <w:rFonts w:hint="eastAsia" w:ascii="仿宋_GB2312" w:hAnsi="仿宋" w:eastAsia="仿宋_GB2312"/>
          <w:bCs/>
          <w:sz w:val="32"/>
          <w:szCs w:val="32"/>
        </w:rPr>
      </w:pPr>
      <w:r>
        <w:rPr>
          <w:rFonts w:hint="eastAsia" w:ascii="仿宋_GB2312" w:hAnsi="仿宋" w:eastAsia="仿宋_GB2312"/>
          <w:bCs/>
          <w:sz w:val="32"/>
          <w:szCs w:val="32"/>
        </w:rPr>
        <w:t xml:space="preserve"> （五）按规定对县管领导干部及依法属于县审计局审计监督对象的其他单位主要负责人实施经济责任审计和自然资源资产离任及任中审计。</w:t>
      </w:r>
    </w:p>
    <w:p>
      <w:pPr>
        <w:shd w:val="clear"/>
        <w:spacing w:line="580" w:lineRule="exact"/>
        <w:rPr>
          <w:rFonts w:hint="eastAsia" w:ascii="仿宋_GB2312" w:hAnsi="仿宋" w:eastAsia="仿宋_GB2312"/>
          <w:bCs/>
          <w:sz w:val="32"/>
          <w:szCs w:val="32"/>
        </w:rPr>
      </w:pPr>
      <w:r>
        <w:rPr>
          <w:rFonts w:hint="eastAsia" w:ascii="仿宋_GB2312" w:hAnsi="仿宋" w:eastAsia="仿宋_GB2312"/>
          <w:bCs/>
          <w:sz w:val="32"/>
          <w:szCs w:val="32"/>
        </w:rPr>
        <w:t xml:space="preserve">    （六）组织实施对财经法律、法规、规章、政策和宏观调控措施执行情况、财政预算管理及国有资产管理使用等与县级财政收支有关的特定事项进行专项审计调查。</w:t>
      </w:r>
    </w:p>
    <w:p>
      <w:pPr>
        <w:shd w:val="clear"/>
        <w:spacing w:line="580" w:lineRule="exact"/>
        <w:ind w:firstLine="645"/>
        <w:rPr>
          <w:rFonts w:hint="eastAsia" w:ascii="仿宋_GB2312" w:hAnsi="仿宋" w:eastAsia="仿宋_GB2312"/>
          <w:bCs/>
          <w:sz w:val="32"/>
          <w:szCs w:val="32"/>
        </w:rPr>
      </w:pPr>
      <w:r>
        <w:rPr>
          <w:rFonts w:hint="eastAsia" w:ascii="仿宋_GB2312" w:hAnsi="仿宋" w:eastAsia="仿宋_GB2312"/>
          <w:bCs/>
          <w:sz w:val="32"/>
          <w:szCs w:val="32"/>
        </w:rPr>
        <w:t>（七）依法检查审计决定执行情况，督促整改审计查出的问题。依法办理被审计单位对审计决定提请行政复议、行政诉讼或县政府裁决的有关事项。协助配合有关部门查处相关重大案件。</w:t>
      </w:r>
    </w:p>
    <w:p>
      <w:pPr>
        <w:shd w:val="clear"/>
        <w:spacing w:line="580" w:lineRule="exact"/>
        <w:ind w:firstLine="645"/>
        <w:rPr>
          <w:rFonts w:hint="eastAsia" w:ascii="仿宋_GB2312" w:hAnsi="仿宋" w:eastAsia="仿宋_GB2312"/>
          <w:bCs/>
          <w:sz w:val="32"/>
          <w:szCs w:val="32"/>
        </w:rPr>
      </w:pPr>
      <w:r>
        <w:rPr>
          <w:rFonts w:hint="eastAsia" w:ascii="仿宋_GB2312" w:hAnsi="仿宋" w:eastAsia="仿宋_GB2312"/>
          <w:bCs/>
          <w:sz w:val="32"/>
          <w:szCs w:val="32"/>
        </w:rPr>
        <w:t>（八）指导和监督内部审计工作，核查社会审计机构对依法属于审计监督对象单位出具的相关审计报告。</w:t>
      </w:r>
    </w:p>
    <w:p>
      <w:pPr>
        <w:shd w:val="clear"/>
        <w:spacing w:line="580" w:lineRule="exact"/>
        <w:ind w:firstLine="645"/>
      </w:pPr>
      <w:r>
        <w:rPr>
          <w:rFonts w:hint="eastAsia" w:ascii="仿宋_GB2312" w:hAnsi="仿宋" w:eastAsia="仿宋_GB2312"/>
          <w:bCs/>
          <w:sz w:val="32"/>
          <w:szCs w:val="32"/>
        </w:rPr>
        <w:t>（九）完成县委、县政府交办的其他任务。</w:t>
      </w:r>
    </w:p>
    <w:p>
      <w:pPr>
        <w:widowControl/>
        <w:shd w:val="clear"/>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shd w:val="clear"/>
        <w:ind w:firstLine="320" w:firstLineChars="1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濮阳县审计局内设机构13个，包括：</w:t>
      </w:r>
      <w:r>
        <w:rPr>
          <w:rFonts w:hint="eastAsia" w:ascii="仿宋_GB2312" w:hAnsi="仿宋" w:eastAsia="仿宋_GB2312"/>
          <w:bCs/>
          <w:sz w:val="32"/>
          <w:szCs w:val="32"/>
        </w:rPr>
        <w:t>办公室（组织人事股）</w:t>
      </w:r>
      <w:r>
        <w:rPr>
          <w:rFonts w:hint="eastAsia" w:ascii="仿宋_GB2312" w:hAnsi="仿宋" w:eastAsia="仿宋_GB2312"/>
          <w:bCs/>
          <w:sz w:val="32"/>
          <w:szCs w:val="32"/>
          <w:lang w:eastAsia="zh-CN"/>
        </w:rPr>
        <w:t>、</w:t>
      </w:r>
      <w:r>
        <w:rPr>
          <w:rFonts w:hint="eastAsia" w:ascii="仿宋_GB2312" w:hAnsi="仿宋" w:eastAsia="仿宋_GB2312"/>
          <w:bCs/>
          <w:sz w:val="32"/>
          <w:szCs w:val="32"/>
        </w:rPr>
        <w:t>法规股(审理股)</w:t>
      </w:r>
      <w:r>
        <w:rPr>
          <w:rFonts w:hint="eastAsia" w:ascii="仿宋_GB2312" w:hAnsi="仿宋" w:eastAsia="仿宋_GB2312"/>
          <w:bCs/>
          <w:sz w:val="32"/>
          <w:szCs w:val="32"/>
          <w:lang w:eastAsia="zh-CN"/>
        </w:rPr>
        <w:t>、</w:t>
      </w:r>
      <w:r>
        <w:rPr>
          <w:rFonts w:hint="eastAsia" w:ascii="仿宋_GB2312" w:hAnsi="仿宋" w:eastAsia="仿宋_GB2312"/>
          <w:bCs/>
          <w:sz w:val="32"/>
          <w:szCs w:val="32"/>
        </w:rPr>
        <w:t>计划管理督察股</w:t>
      </w:r>
      <w:r>
        <w:rPr>
          <w:rFonts w:hint="eastAsia" w:ascii="仿宋_GB2312" w:hAnsi="仿宋" w:eastAsia="仿宋_GB2312"/>
          <w:bCs/>
          <w:sz w:val="32"/>
          <w:szCs w:val="32"/>
          <w:lang w:eastAsia="zh-CN"/>
        </w:rPr>
        <w:t>、</w:t>
      </w:r>
      <w:r>
        <w:rPr>
          <w:rFonts w:hint="eastAsia" w:ascii="仿宋_GB2312" w:hAnsi="仿宋" w:eastAsia="仿宋_GB2312"/>
          <w:bCs/>
          <w:sz w:val="32"/>
          <w:szCs w:val="32"/>
        </w:rPr>
        <w:t>财政金融监督审计股（政策跟踪审计股）</w:t>
      </w:r>
      <w:r>
        <w:rPr>
          <w:rFonts w:hint="eastAsia" w:ascii="仿宋_GB2312" w:hAnsi="仿宋" w:eastAsia="仿宋_GB2312"/>
          <w:bCs/>
          <w:sz w:val="32"/>
          <w:szCs w:val="32"/>
          <w:lang w:eastAsia="zh-CN"/>
        </w:rPr>
        <w:t>、</w:t>
      </w:r>
      <w:r>
        <w:rPr>
          <w:rFonts w:hint="eastAsia" w:ascii="仿宋_GB2312" w:hAnsi="仿宋" w:eastAsia="仿宋_GB2312"/>
          <w:bCs/>
          <w:sz w:val="32"/>
          <w:szCs w:val="32"/>
        </w:rPr>
        <w:t>大数据审计股</w:t>
      </w:r>
      <w:r>
        <w:rPr>
          <w:rFonts w:hint="eastAsia" w:ascii="仿宋_GB2312" w:hAnsi="仿宋" w:eastAsia="仿宋_GB2312"/>
          <w:bCs/>
          <w:sz w:val="32"/>
          <w:szCs w:val="32"/>
          <w:lang w:eastAsia="zh-CN"/>
        </w:rPr>
        <w:t>、</w:t>
      </w:r>
      <w:r>
        <w:rPr>
          <w:rFonts w:hint="eastAsia" w:ascii="仿宋_GB2312" w:hAnsi="仿宋" w:eastAsia="仿宋_GB2312"/>
          <w:bCs/>
          <w:sz w:val="32"/>
          <w:szCs w:val="32"/>
        </w:rPr>
        <w:t>行政事业审计股（政法审计股）</w:t>
      </w:r>
      <w:r>
        <w:rPr>
          <w:rFonts w:hint="eastAsia" w:ascii="仿宋_GB2312" w:hAnsi="仿宋" w:eastAsia="仿宋_GB2312"/>
          <w:bCs/>
          <w:sz w:val="32"/>
          <w:szCs w:val="32"/>
          <w:lang w:eastAsia="zh-CN"/>
        </w:rPr>
        <w:t>、</w:t>
      </w:r>
      <w:r>
        <w:rPr>
          <w:rFonts w:hint="eastAsia" w:ascii="仿宋_GB2312" w:hAnsi="仿宋" w:eastAsia="仿宋_GB2312"/>
          <w:bCs/>
          <w:sz w:val="32"/>
          <w:szCs w:val="32"/>
        </w:rPr>
        <w:t>科教文审计股</w:t>
      </w:r>
      <w:r>
        <w:rPr>
          <w:rFonts w:hint="eastAsia" w:ascii="仿宋_GB2312" w:hAnsi="仿宋" w:eastAsia="仿宋_GB2312"/>
          <w:bCs/>
          <w:sz w:val="32"/>
          <w:szCs w:val="32"/>
          <w:lang w:eastAsia="zh-CN"/>
        </w:rPr>
        <w:t>、</w:t>
      </w:r>
      <w:r>
        <w:rPr>
          <w:rFonts w:hint="eastAsia" w:ascii="仿宋_GB2312" w:hAnsi="仿宋" w:eastAsia="仿宋_GB2312"/>
          <w:bCs/>
          <w:sz w:val="32"/>
          <w:szCs w:val="32"/>
        </w:rPr>
        <w:t>农业农村审计股</w:t>
      </w:r>
      <w:r>
        <w:rPr>
          <w:rFonts w:hint="eastAsia" w:ascii="仿宋_GB2312" w:hAnsi="仿宋" w:eastAsia="仿宋_GB2312"/>
          <w:bCs/>
          <w:sz w:val="32"/>
          <w:szCs w:val="32"/>
          <w:lang w:eastAsia="zh-CN"/>
        </w:rPr>
        <w:t>、</w:t>
      </w:r>
      <w:r>
        <w:rPr>
          <w:rFonts w:hint="eastAsia" w:ascii="仿宋_GB2312" w:hAnsi="仿宋" w:eastAsia="仿宋_GB2312"/>
          <w:bCs/>
          <w:sz w:val="32"/>
          <w:szCs w:val="32"/>
        </w:rPr>
        <w:t>市政基础设施投资审计股（重点项目投资审计股）</w:t>
      </w:r>
      <w:r>
        <w:rPr>
          <w:rFonts w:hint="eastAsia" w:ascii="仿宋_GB2312" w:hAnsi="仿宋" w:eastAsia="仿宋_GB2312"/>
          <w:bCs/>
          <w:sz w:val="32"/>
          <w:szCs w:val="32"/>
          <w:lang w:eastAsia="zh-CN"/>
        </w:rPr>
        <w:t>、</w:t>
      </w:r>
      <w:r>
        <w:rPr>
          <w:rFonts w:hint="eastAsia" w:ascii="仿宋_GB2312" w:hAnsi="仿宋" w:eastAsia="仿宋_GB2312"/>
          <w:bCs/>
          <w:sz w:val="32"/>
          <w:szCs w:val="32"/>
        </w:rPr>
        <w:t>生态环境审计股(内部审计指导监督股)</w:t>
      </w:r>
      <w:r>
        <w:rPr>
          <w:rFonts w:hint="eastAsia" w:ascii="仿宋_GB2312" w:hAnsi="仿宋" w:eastAsia="仿宋_GB2312"/>
          <w:bCs/>
          <w:sz w:val="32"/>
          <w:szCs w:val="32"/>
          <w:lang w:eastAsia="zh-CN"/>
        </w:rPr>
        <w:t>、</w:t>
      </w:r>
      <w:r>
        <w:rPr>
          <w:rFonts w:hint="eastAsia" w:ascii="仿宋_GB2312" w:hAnsi="仿宋" w:eastAsia="仿宋_GB2312"/>
          <w:bCs/>
          <w:sz w:val="32"/>
          <w:szCs w:val="32"/>
        </w:rPr>
        <w:t>社会保障审计股</w:t>
      </w:r>
      <w:r>
        <w:rPr>
          <w:rFonts w:hint="eastAsia" w:ascii="仿宋_GB2312" w:hAnsi="仿宋" w:eastAsia="仿宋_GB2312"/>
          <w:bCs/>
          <w:sz w:val="32"/>
          <w:szCs w:val="32"/>
          <w:lang w:eastAsia="zh-CN"/>
        </w:rPr>
        <w:t>、</w:t>
      </w:r>
      <w:r>
        <w:rPr>
          <w:rFonts w:hint="eastAsia" w:ascii="仿宋_GB2312" w:hAnsi="仿宋" w:eastAsia="仿宋_GB2312"/>
          <w:bCs/>
          <w:sz w:val="32"/>
          <w:szCs w:val="32"/>
        </w:rPr>
        <w:t>经贸和外资运用审计股（企业审计股）</w:t>
      </w:r>
      <w:r>
        <w:rPr>
          <w:rFonts w:hint="eastAsia" w:ascii="仿宋_GB2312" w:hAnsi="仿宋" w:eastAsia="仿宋_GB2312"/>
          <w:bCs/>
          <w:sz w:val="32"/>
          <w:szCs w:val="32"/>
          <w:lang w:eastAsia="zh-CN"/>
        </w:rPr>
        <w:t>、</w:t>
      </w:r>
      <w:r>
        <w:rPr>
          <w:rFonts w:hint="eastAsia" w:ascii="仿宋_GB2312" w:hAnsi="仿宋" w:eastAsia="仿宋_GB2312"/>
          <w:bCs/>
          <w:sz w:val="32"/>
          <w:szCs w:val="32"/>
        </w:rPr>
        <w:t>经济责任审计管理股</w:t>
      </w:r>
      <w:r>
        <w:rPr>
          <w:rFonts w:hint="eastAsia" w:ascii="仿宋_GB2312" w:hAnsi="仿宋" w:eastAsia="仿宋_GB2312"/>
          <w:bCs/>
          <w:sz w:val="32"/>
          <w:szCs w:val="32"/>
          <w:lang w:eastAsia="zh-CN"/>
        </w:rPr>
        <w:t>。</w:t>
      </w:r>
      <w:r>
        <w:rPr>
          <w:rFonts w:hint="eastAsia" w:ascii="仿宋_GB2312" w:hAnsi="仿宋_GB2312" w:eastAsia="仿宋_GB2312" w:cs="仿宋_GB2312"/>
          <w:color w:val="auto"/>
          <w:kern w:val="0"/>
          <w:sz w:val="32"/>
          <w:szCs w:val="32"/>
          <w:highlight w:val="none"/>
          <w:lang w:val="en-US" w:eastAsia="zh-CN"/>
        </w:rPr>
        <w:t>另设有濮阳县经济责任中心和濮阳县基建投资审计中心。</w:t>
      </w:r>
    </w:p>
    <w:p>
      <w:pPr>
        <w:widowControl/>
        <w:shd w:val="clear"/>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从决算单位构成看，濮阳县审计部门决算包括：本级决算、所属单位决算。</w:t>
      </w:r>
    </w:p>
    <w:p>
      <w:pPr>
        <w:widowControl/>
        <w:shd w:val="clear"/>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纳入本部门2019年度部门决算编制范围的单位共3个，其中二级预算单位2个，具体是：</w:t>
      </w:r>
    </w:p>
    <w:p>
      <w:pPr>
        <w:widowControl/>
        <w:shd w:val="clear"/>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1.审计局本级</w:t>
      </w:r>
    </w:p>
    <w:p>
      <w:pPr>
        <w:widowControl/>
        <w:shd w:val="clear"/>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2.濮阳县经济责任中心</w:t>
      </w:r>
    </w:p>
    <w:p>
      <w:pPr>
        <w:widowControl/>
        <w:shd w:val="clear"/>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kern w:val="0"/>
          <w:sz w:val="32"/>
          <w:szCs w:val="32"/>
          <w:highlight w:val="none"/>
          <w:lang w:val="en-US" w:eastAsia="zh-CN"/>
        </w:rPr>
        <w:t>3.濮阳县基建投资审计中心</w:t>
      </w: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shd w:val="clea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部门决算表</w:t>
      </w:r>
    </w:p>
    <w:p>
      <w:pPr>
        <w:widowControl/>
        <w:shd w:val="clear"/>
        <w:jc w:val="left"/>
        <w:rPr>
          <w:rFonts w:hint="eastAsia" w:ascii="黑体" w:hAnsi="宋体" w:eastAsia="黑体" w:cs="宋体"/>
          <w:color w:val="auto"/>
          <w:kern w:val="0"/>
          <w:sz w:val="28"/>
          <w:szCs w:val="28"/>
          <w:highlight w:val="none"/>
          <w:lang w:val="en-US" w:eastAsia="zh-CN"/>
        </w:rPr>
      </w:pPr>
    </w:p>
    <w:p>
      <w:pPr>
        <w:shd w:val="clear"/>
        <w:rPr>
          <w:rFonts w:hint="eastAsia"/>
          <w:lang w:val="en-US" w:eastAsia="zh-CN"/>
        </w:rPr>
      </w:pPr>
    </w:p>
    <w:p>
      <w:pPr>
        <w:pStyle w:val="2"/>
        <w:shd w:val="clear"/>
        <w:rPr>
          <w:rFonts w:hint="eastAsia"/>
          <w:lang w:val="en-US" w:eastAsia="zh-CN"/>
        </w:rPr>
      </w:pPr>
    </w:p>
    <w:p>
      <w:pPr>
        <w:pStyle w:val="2"/>
        <w:shd w:val="clear"/>
        <w:rPr>
          <w:rFonts w:hint="eastAsia"/>
          <w:lang w:val="en-US" w:eastAsia="zh-CN"/>
        </w:rPr>
        <w:sectPr>
          <w:pgSz w:w="11906" w:h="16838"/>
          <w:pgMar w:top="1440" w:right="1800" w:bottom="1440" w:left="1800" w:header="720" w:footer="720" w:gutter="0"/>
          <w:pgNumType w:fmt="numberInDash"/>
          <w:cols w:space="720" w:num="1"/>
          <w:docGrid w:type="lines" w:linePitch="312" w:charSpace="0"/>
        </w:sectPr>
      </w:pPr>
    </w:p>
    <w:tbl>
      <w:tblPr>
        <w:tblStyle w:val="5"/>
        <w:tblW w:w="13280" w:type="dxa"/>
        <w:tblInd w:w="0" w:type="dxa"/>
        <w:shd w:val="clear" w:color="auto" w:fill="auto"/>
        <w:tblLayout w:type="autofit"/>
        <w:tblCellMar>
          <w:top w:w="0" w:type="dxa"/>
          <w:left w:w="0" w:type="dxa"/>
          <w:bottom w:w="0" w:type="dxa"/>
          <w:right w:w="0" w:type="dxa"/>
        </w:tblCellMar>
      </w:tblPr>
      <w:tblGrid>
        <w:gridCol w:w="4369"/>
        <w:gridCol w:w="632"/>
        <w:gridCol w:w="1207"/>
        <w:gridCol w:w="4369"/>
        <w:gridCol w:w="632"/>
        <w:gridCol w:w="2071"/>
      </w:tblGrid>
      <w:tr>
        <w:tblPrEx>
          <w:shd w:val="clear" w:color="auto" w:fill="auto"/>
          <w:tblCellMar>
            <w:top w:w="0" w:type="dxa"/>
            <w:left w:w="0" w:type="dxa"/>
            <w:bottom w:w="0" w:type="dxa"/>
            <w:right w:w="0" w:type="dxa"/>
          </w:tblCellMar>
        </w:tblPrEx>
        <w:trPr>
          <w:trHeight w:val="416" w:hRule="exact"/>
        </w:trPr>
        <w:tc>
          <w:tcPr>
            <w:tcW w:w="1328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32"/>
                <w:szCs w:val="32"/>
                <w:u w:val="none"/>
                <w:lang w:val="en-US" w:eastAsia="zh-CN" w:bidi="ar"/>
              </w:rPr>
              <w:t>收入支出决算总表</w:t>
            </w:r>
          </w:p>
        </w:tc>
      </w:tr>
      <w:tr>
        <w:tblPrEx>
          <w:tblCellMar>
            <w:top w:w="0" w:type="dxa"/>
            <w:left w:w="0" w:type="dxa"/>
            <w:bottom w:w="0" w:type="dxa"/>
            <w:right w:w="0" w:type="dxa"/>
          </w:tblCellMar>
        </w:tblPrEx>
        <w:trPr>
          <w:trHeight w:val="215" w:hRule="exact"/>
        </w:trPr>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rPr>
                <w:rFonts w:hint="eastAsia" w:ascii="宋体" w:hAnsi="宋体" w:eastAsia="宋体" w:cs="宋体"/>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rPr>
                <w:rFonts w:hint="eastAsia" w:ascii="宋体" w:hAnsi="宋体" w:eastAsia="宋体" w:cs="宋体"/>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rPr>
                <w:rFonts w:hint="eastAsia" w:ascii="宋体" w:hAnsi="宋体" w:eastAsia="宋体" w:cs="宋体"/>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rPr>
                <w:rFonts w:hint="eastAsia" w:ascii="宋体" w:hAnsi="宋体" w:eastAsia="宋体" w:cs="宋体"/>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rPr>
                <w:rFonts w:hint="eastAsia" w:ascii="宋体" w:hAnsi="宋体" w:eastAsia="宋体" w:cs="宋体"/>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公开01表</w:t>
            </w:r>
          </w:p>
        </w:tc>
      </w:tr>
      <w:tr>
        <w:tblPrEx>
          <w:tblCellMar>
            <w:top w:w="0" w:type="dxa"/>
            <w:left w:w="0" w:type="dxa"/>
            <w:bottom w:w="0" w:type="dxa"/>
            <w:right w:w="0" w:type="dxa"/>
          </w:tblCellMar>
        </w:tblPrEx>
        <w:trPr>
          <w:trHeight w:val="215" w:hRule="exact"/>
        </w:trPr>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部门：濮阳县审计局</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rPr>
                <w:rFonts w:hint="eastAsia" w:ascii="宋体" w:hAnsi="宋体" w:eastAsia="宋体" w:cs="宋体"/>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rPr>
                <w:rFonts w:hint="eastAsia" w:ascii="宋体" w:hAnsi="宋体" w:eastAsia="宋体" w:cs="宋体"/>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rPr>
                <w:rFonts w:hint="eastAsia" w:ascii="宋体" w:hAnsi="宋体" w:eastAsia="宋体" w:cs="宋体"/>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rPr>
                <w:rFonts w:hint="eastAsia" w:ascii="宋体" w:hAnsi="宋体" w:eastAsia="宋体" w:cs="宋体"/>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金额单位：万元</w:t>
            </w:r>
          </w:p>
        </w:tc>
      </w:tr>
      <w:tr>
        <w:tblPrEx>
          <w:tblCellMar>
            <w:top w:w="0" w:type="dxa"/>
            <w:left w:w="0" w:type="dxa"/>
            <w:bottom w:w="0" w:type="dxa"/>
            <w:right w:w="0" w:type="dxa"/>
          </w:tblCellMar>
        </w:tblPrEx>
        <w:trPr>
          <w:trHeight w:val="215" w:hRule="exac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支出</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1,939.25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1,892.00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三、上级补助收入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四、事业收入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五、经营收入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七、其他收入</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19.48</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27.77</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1,939.25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1,939.25</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15"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1,939.25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1,939.25</w:t>
            </w:r>
          </w:p>
        </w:tc>
      </w:tr>
      <w:tr>
        <w:tblPrEx>
          <w:tblCellMar>
            <w:top w:w="0" w:type="dxa"/>
            <w:left w:w="0" w:type="dxa"/>
            <w:bottom w:w="0" w:type="dxa"/>
            <w:right w:w="0" w:type="dxa"/>
          </w:tblCellMar>
        </w:tblPrEx>
        <w:trPr>
          <w:trHeight w:val="215" w:hRule="exact"/>
        </w:trPr>
        <w:tc>
          <w:tcPr>
            <w:tcW w:w="0" w:type="auto"/>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注：本表反映部门本年度的总收支和年末结转结余情况。本表金额转换为万元时，因四舍五入可能存在尾差。</w:t>
            </w:r>
          </w:p>
        </w:tc>
      </w:tr>
    </w:tbl>
    <w:p>
      <w:pPr>
        <w:shd w:val="clear"/>
        <w:rPr>
          <w:rFonts w:hint="eastAsia" w:ascii="仿宋_GB2312" w:hAnsi="仿宋_GB2312" w:eastAsia="仿宋_GB2312" w:cs="仿宋_GB2312"/>
          <w:color w:val="auto"/>
          <w:sz w:val="32"/>
          <w:szCs w:val="32"/>
          <w:highlight w:val="none"/>
        </w:rPr>
      </w:pPr>
    </w:p>
    <w:p>
      <w:pPr>
        <w:shd w:val="clea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4997" w:type="pct"/>
        <w:tblInd w:w="0" w:type="dxa"/>
        <w:shd w:val="clear" w:color="auto" w:fill="auto"/>
        <w:tblLayout w:type="autofit"/>
        <w:tblCellMar>
          <w:top w:w="0" w:type="dxa"/>
          <w:left w:w="0" w:type="dxa"/>
          <w:bottom w:w="0" w:type="dxa"/>
          <w:right w:w="0" w:type="dxa"/>
        </w:tblCellMar>
      </w:tblPr>
      <w:tblGrid>
        <w:gridCol w:w="1830"/>
        <w:gridCol w:w="49"/>
        <w:gridCol w:w="102"/>
        <w:gridCol w:w="3111"/>
        <w:gridCol w:w="1152"/>
        <w:gridCol w:w="1172"/>
        <w:gridCol w:w="1527"/>
        <w:gridCol w:w="1172"/>
        <w:gridCol w:w="1172"/>
        <w:gridCol w:w="1172"/>
        <w:gridCol w:w="1521"/>
      </w:tblGrid>
      <w:tr>
        <w:tblPrEx>
          <w:shd w:val="clear" w:color="auto" w:fill="auto"/>
          <w:tblCellMar>
            <w:top w:w="0" w:type="dxa"/>
            <w:left w:w="0" w:type="dxa"/>
            <w:bottom w:w="0" w:type="dxa"/>
            <w:right w:w="0" w:type="dxa"/>
          </w:tblCellMar>
        </w:tblPrEx>
        <w:trPr>
          <w:trHeight w:val="522" w:hRule="exact"/>
        </w:trPr>
        <w:tc>
          <w:tcPr>
            <w:tcW w:w="5000" w:type="pct"/>
            <w:gridSpan w:val="11"/>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trPr>
        <w:tc>
          <w:tcPr>
            <w:tcW w:w="654"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8"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112"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12"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19"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546"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19"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19"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19"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542"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trPr>
        <w:tc>
          <w:tcPr>
            <w:tcW w:w="65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部门：濮阳县审计局</w:t>
            </w:r>
          </w:p>
        </w:tc>
        <w:tc>
          <w:tcPr>
            <w:tcW w:w="18"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112"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12"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19"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546"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19"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19"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419" w:type="pct"/>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542"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15" w:hRule="exact"/>
        </w:trPr>
        <w:tc>
          <w:tcPr>
            <w:tcW w:w="1822"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12" w:type="pct"/>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419" w:type="pct"/>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546" w:type="pct"/>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419" w:type="pct"/>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419" w:type="pct"/>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419" w:type="pct"/>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542" w:type="pct"/>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530" w:hRule="exact"/>
        </w:trPr>
        <w:tc>
          <w:tcPr>
            <w:tcW w:w="709" w:type="pct"/>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1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Calibri" w:hAnsi="Calibri" w:eastAsia="宋体" w:cs="Times New Roman"/>
                <w:kern w:val="2"/>
                <w:sz w:val="21"/>
                <w:szCs w:val="22"/>
                <w:lang w:val="en-US" w:eastAsia="zh-CN" w:bidi="ar-SA"/>
              </w:rPr>
            </w:pPr>
            <w:r>
              <w:rPr>
                <w:rFonts w:hint="eastAsia"/>
                <w:lang w:val="en-US" w:eastAsia="zh-CN"/>
              </w:rPr>
              <w:t>科目名称</w:t>
            </w:r>
          </w:p>
        </w:tc>
        <w:tc>
          <w:tcPr>
            <w:tcW w:w="412" w:type="pct"/>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419" w:type="pct"/>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546" w:type="pct"/>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419" w:type="pct"/>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419" w:type="pct"/>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419" w:type="pct"/>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542" w:type="pct"/>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22"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12"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19"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19"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19"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19"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42"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1822" w:type="pct"/>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1,939.25</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1,939.25</w:t>
            </w:r>
          </w:p>
        </w:tc>
        <w:tc>
          <w:tcPr>
            <w:tcW w:w="5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1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4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1,892.00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1,892.00</w:t>
            </w:r>
          </w:p>
        </w:tc>
        <w:tc>
          <w:tcPr>
            <w:tcW w:w="5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w:t>
            </w:r>
          </w:p>
        </w:tc>
        <w:tc>
          <w:tcPr>
            <w:tcW w:w="11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审计事务</w:t>
            </w:r>
          </w:p>
        </w:tc>
        <w:tc>
          <w:tcPr>
            <w:tcW w:w="4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1,892.00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1,892.00</w:t>
            </w:r>
          </w:p>
        </w:tc>
        <w:tc>
          <w:tcPr>
            <w:tcW w:w="5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2010801</w:t>
            </w:r>
          </w:p>
        </w:tc>
        <w:tc>
          <w:tcPr>
            <w:tcW w:w="11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4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387.00</w:t>
            </w:r>
          </w:p>
        </w:tc>
        <w:tc>
          <w:tcPr>
            <w:tcW w:w="5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2010804</w:t>
            </w:r>
          </w:p>
        </w:tc>
        <w:tc>
          <w:tcPr>
            <w:tcW w:w="11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审计业务</w:t>
            </w:r>
          </w:p>
        </w:tc>
        <w:tc>
          <w:tcPr>
            <w:tcW w:w="4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457.00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457.00</w:t>
            </w:r>
          </w:p>
        </w:tc>
        <w:tc>
          <w:tcPr>
            <w:tcW w:w="5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2010806</w:t>
            </w:r>
          </w:p>
        </w:tc>
        <w:tc>
          <w:tcPr>
            <w:tcW w:w="11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信息化建设</w:t>
            </w:r>
          </w:p>
        </w:tc>
        <w:tc>
          <w:tcPr>
            <w:tcW w:w="4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5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2010850</w:t>
            </w:r>
          </w:p>
        </w:tc>
        <w:tc>
          <w:tcPr>
            <w:tcW w:w="11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4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1,009.00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1,009.00</w:t>
            </w:r>
          </w:p>
        </w:tc>
        <w:tc>
          <w:tcPr>
            <w:tcW w:w="5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2010899</w:t>
            </w:r>
          </w:p>
        </w:tc>
        <w:tc>
          <w:tcPr>
            <w:tcW w:w="11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其他审计事务支出</w:t>
            </w:r>
          </w:p>
        </w:tc>
        <w:tc>
          <w:tcPr>
            <w:tcW w:w="4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5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1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4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5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1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4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5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11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4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5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1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4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27.77</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27.77</w:t>
            </w:r>
          </w:p>
        </w:tc>
        <w:tc>
          <w:tcPr>
            <w:tcW w:w="5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1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4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27.77</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27.77</w:t>
            </w:r>
          </w:p>
        </w:tc>
        <w:tc>
          <w:tcPr>
            <w:tcW w:w="5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11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4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13.11</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13.11</w:t>
            </w:r>
          </w:p>
        </w:tc>
        <w:tc>
          <w:tcPr>
            <w:tcW w:w="5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70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11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41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14.66</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14.66</w:t>
            </w:r>
          </w:p>
        </w:tc>
        <w:tc>
          <w:tcPr>
            <w:tcW w:w="54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4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5000" w:type="pct"/>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注：本表反映部门本年度取得的各项收入情况。本表金额转换为万元时，因四舍五入可能存在尾差。</w:t>
            </w:r>
          </w:p>
        </w:tc>
      </w:tr>
    </w:tbl>
    <w:p>
      <w:pPr>
        <w:shd w:val="clear"/>
        <w:rPr>
          <w:rFonts w:hint="eastAsia" w:ascii="仿宋_GB2312" w:hAnsi="仿宋_GB2312" w:eastAsia="仿宋_GB2312" w:cs="仿宋_GB2312"/>
          <w:color w:val="auto"/>
          <w:sz w:val="32"/>
          <w:szCs w:val="32"/>
          <w:highlight w:val="none"/>
        </w:rPr>
      </w:pPr>
    </w:p>
    <w:p>
      <w:pPr>
        <w:shd w:val="clea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shd w:val="clear" w:color="auto" w:fill="auto"/>
        <w:tblLayout w:type="fixed"/>
        <w:tblCellMar>
          <w:top w:w="0" w:type="dxa"/>
          <w:left w:w="0" w:type="dxa"/>
          <w:bottom w:w="0" w:type="dxa"/>
          <w:right w:w="0" w:type="dxa"/>
        </w:tblCellMar>
      </w:tblPr>
      <w:tblGrid>
        <w:gridCol w:w="1830"/>
        <w:gridCol w:w="36"/>
        <w:gridCol w:w="36"/>
        <w:gridCol w:w="3110"/>
        <w:gridCol w:w="1350"/>
        <w:gridCol w:w="1052"/>
        <w:gridCol w:w="946"/>
        <w:gridCol w:w="1558"/>
        <w:gridCol w:w="1175"/>
        <w:gridCol w:w="2350"/>
      </w:tblGrid>
      <w:tr>
        <w:tblPrEx>
          <w:shd w:val="clear" w:color="auto" w:fill="auto"/>
          <w:tblCellMar>
            <w:top w:w="0" w:type="dxa"/>
            <w:left w:w="0" w:type="dxa"/>
            <w:bottom w:w="0" w:type="dxa"/>
            <w:right w:w="0" w:type="dxa"/>
          </w:tblCellMar>
        </w:tblPrEx>
        <w:trPr>
          <w:trHeight w:val="390" w:hRule="atLeast"/>
        </w:trPr>
        <w:tc>
          <w:tcPr>
            <w:tcW w:w="13443" w:type="dxa"/>
            <w:gridSpan w:val="10"/>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18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1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052"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4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558"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175"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235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18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部门：濮阳县审计局</w:t>
            </w: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11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35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052"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4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558"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175"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235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w:t>
            </w:r>
            <w:r>
              <w:rPr>
                <w:rFonts w:hint="eastAsia" w:ascii="宋体" w:hAnsi="宋体" w:cs="宋体"/>
                <w:i w:val="0"/>
                <w:color w:val="000000"/>
                <w:kern w:val="0"/>
                <w:sz w:val="20"/>
                <w:szCs w:val="20"/>
                <w:u w:val="none"/>
                <w:lang w:val="en-US" w:eastAsia="zh-CN" w:bidi="ar"/>
              </w:rPr>
              <w:t>万</w:t>
            </w:r>
            <w:r>
              <w:rPr>
                <w:rFonts w:hint="eastAsia" w:ascii="宋体" w:hAnsi="宋体" w:eastAsia="宋体" w:cs="宋体"/>
                <w:i w:val="0"/>
                <w:color w:val="000000"/>
                <w:kern w:val="0"/>
                <w:sz w:val="20"/>
                <w:szCs w:val="20"/>
                <w:u w:val="none"/>
                <w:lang w:val="en-US" w:eastAsia="zh-CN" w:bidi="ar"/>
              </w:rPr>
              <w:t>元</w:t>
            </w:r>
          </w:p>
        </w:tc>
      </w:tr>
      <w:tr>
        <w:tblPrEx>
          <w:tblCellMar>
            <w:top w:w="0" w:type="dxa"/>
            <w:left w:w="0" w:type="dxa"/>
            <w:bottom w:w="0" w:type="dxa"/>
            <w:right w:w="0" w:type="dxa"/>
          </w:tblCellMar>
        </w:tblPrEx>
        <w:trPr>
          <w:trHeight w:val="308" w:hRule="atLeast"/>
        </w:trPr>
        <w:tc>
          <w:tcPr>
            <w:tcW w:w="501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05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4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55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1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23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600" w:hRule="atLeast"/>
        </w:trPr>
        <w:tc>
          <w:tcPr>
            <w:tcW w:w="1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05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4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55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1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23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1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4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3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501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1,939.25</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1,939.25</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5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2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3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1,892.00</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1,892.00</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w:t>
            </w:r>
          </w:p>
        </w:tc>
        <w:tc>
          <w:tcPr>
            <w:tcW w:w="3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审计事务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1,892.00</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1,892.00</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2010801</w:t>
            </w:r>
          </w:p>
        </w:tc>
        <w:tc>
          <w:tcPr>
            <w:tcW w:w="3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387.00</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387.00</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2010804</w:t>
            </w:r>
          </w:p>
        </w:tc>
        <w:tc>
          <w:tcPr>
            <w:tcW w:w="3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审计业务</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457.00</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457.00</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2010806</w:t>
            </w:r>
          </w:p>
        </w:tc>
        <w:tc>
          <w:tcPr>
            <w:tcW w:w="3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信息化建设</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2010850</w:t>
            </w:r>
          </w:p>
        </w:tc>
        <w:tc>
          <w:tcPr>
            <w:tcW w:w="3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1,009.00</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1,009.00</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2010899</w:t>
            </w:r>
          </w:p>
        </w:tc>
        <w:tc>
          <w:tcPr>
            <w:tcW w:w="3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其他审计事务支出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3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27.77</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27.77</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27.77</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27.77</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13.11</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13.11</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3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14.66</w:t>
            </w:r>
          </w:p>
        </w:tc>
        <w:tc>
          <w:tcPr>
            <w:tcW w:w="10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14.66</w:t>
            </w:r>
          </w:p>
        </w:tc>
        <w:tc>
          <w:tcPr>
            <w:tcW w:w="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5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3443"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注：本表反映部门本年度各项支出情况。本表金额转换为万元时，因四舍五入可能存在尾差。</w:t>
            </w:r>
          </w:p>
        </w:tc>
      </w:tr>
    </w:tbl>
    <w:p>
      <w:pPr>
        <w:shd w:val="clea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shd w:val="clear" w:color="auto" w:fill="auto"/>
        <w:tblLayout w:type="autofit"/>
        <w:tblCellMar>
          <w:top w:w="0" w:type="dxa"/>
          <w:left w:w="0" w:type="dxa"/>
          <w:bottom w:w="0" w:type="dxa"/>
          <w:right w:w="0" w:type="dxa"/>
        </w:tblCellMar>
      </w:tblPr>
      <w:tblGrid>
        <w:gridCol w:w="2262"/>
        <w:gridCol w:w="330"/>
        <w:gridCol w:w="1631"/>
        <w:gridCol w:w="5183"/>
        <w:gridCol w:w="330"/>
        <w:gridCol w:w="707"/>
        <w:gridCol w:w="1530"/>
        <w:gridCol w:w="1680"/>
      </w:tblGrid>
      <w:tr>
        <w:tblPrEx>
          <w:shd w:val="clear" w:color="auto" w:fill="auto"/>
          <w:tblCellMar>
            <w:top w:w="0" w:type="dxa"/>
            <w:left w:w="0" w:type="dxa"/>
            <w:bottom w:w="0" w:type="dxa"/>
            <w:right w:w="0" w:type="dxa"/>
          </w:tblCellMar>
        </w:tblPrEx>
        <w:trPr>
          <w:trHeight w:val="419" w:hRule="exact"/>
        </w:trPr>
        <w:tc>
          <w:tcPr>
            <w:tcW w:w="0" w:type="auto"/>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300" w:lineRule="exact"/>
              <w:jc w:val="center"/>
              <w:textAlignment w:val="auto"/>
              <w:rPr>
                <w:rFonts w:hint="default" w:ascii="Arial" w:hAnsi="Arial" w:cs="Arial"/>
                <w:i w:val="0"/>
                <w:color w:val="000000"/>
                <w:sz w:val="15"/>
                <w:szCs w:val="15"/>
                <w:u w:val="none"/>
              </w:rPr>
            </w:pPr>
            <w:r>
              <w:rPr>
                <w:rFonts w:hint="eastAsia" w:ascii="宋体" w:hAnsi="宋体" w:eastAsia="宋体" w:cs="宋体"/>
                <w:i w:val="0"/>
                <w:color w:val="000000"/>
                <w:kern w:val="0"/>
                <w:sz w:val="28"/>
                <w:szCs w:val="28"/>
                <w:u w:val="none"/>
                <w:lang w:val="en-US" w:eastAsia="zh-CN" w:bidi="ar"/>
              </w:rPr>
              <w:t>财政拨款收入支出决算总表</w:t>
            </w:r>
          </w:p>
        </w:tc>
      </w:tr>
      <w:tr>
        <w:tblPrEx>
          <w:tblCellMar>
            <w:top w:w="0" w:type="dxa"/>
            <w:left w:w="0" w:type="dxa"/>
            <w:bottom w:w="0" w:type="dxa"/>
            <w:right w:w="0" w:type="dxa"/>
          </w:tblCellMar>
        </w:tblPrEx>
        <w:trPr>
          <w:trHeight w:val="221" w:hRule="exact"/>
        </w:trPr>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1428"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4619"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公开04表</w:t>
            </w:r>
          </w:p>
        </w:tc>
      </w:tr>
      <w:tr>
        <w:tblPrEx>
          <w:tblCellMar>
            <w:top w:w="0" w:type="dxa"/>
            <w:left w:w="0" w:type="dxa"/>
            <w:bottom w:w="0" w:type="dxa"/>
            <w:right w:w="0" w:type="dxa"/>
          </w:tblCellMar>
        </w:tblPrEx>
        <w:trPr>
          <w:trHeight w:val="221" w:hRule="exact"/>
        </w:trPr>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部门：濮阳县审计局</w:t>
            </w: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1428"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4619"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金额单位：万元</w:t>
            </w:r>
          </w:p>
        </w:tc>
      </w:tr>
      <w:tr>
        <w:tblPrEx>
          <w:tblCellMar>
            <w:top w:w="0" w:type="dxa"/>
            <w:left w:w="0" w:type="dxa"/>
            <w:bottom w:w="0" w:type="dxa"/>
            <w:right w:w="0" w:type="dxa"/>
          </w:tblCellMar>
        </w:tblPrEx>
        <w:trPr>
          <w:trHeight w:val="221" w:hRule="exact"/>
        </w:trPr>
        <w:tc>
          <w:tcPr>
            <w:tcW w:w="418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收     入</w:t>
            </w:r>
          </w:p>
        </w:tc>
        <w:tc>
          <w:tcPr>
            <w:tcW w:w="8936"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支     出</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行次</w:t>
            </w:r>
          </w:p>
        </w:tc>
        <w:tc>
          <w:tcPr>
            <w:tcW w:w="14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46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一般公共预算财政拨款</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政府性基金预算财政拨款</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5"/>
                <w:szCs w:val="15"/>
                <w:u w:val="none"/>
              </w:rPr>
            </w:pP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1,939.25</w:t>
            </w: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1,892.00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1,892.00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13</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18</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22</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24</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1,939.25</w:t>
            </w: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1,939.25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1,939.25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26</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21" w:hRule="exac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29</w:t>
            </w:r>
          </w:p>
        </w:tc>
        <w:tc>
          <w:tcPr>
            <w:tcW w:w="14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1,939.25</w:t>
            </w:r>
          </w:p>
        </w:tc>
        <w:tc>
          <w:tcPr>
            <w:tcW w:w="46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1,939.25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1,939.25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1" w:hRule="exact"/>
        </w:trPr>
        <w:tc>
          <w:tcPr>
            <w:tcW w:w="0" w:type="auto"/>
            <w:gridSpan w:val="8"/>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注：本表反映部门本年度一般公共预算财政拨款和政府性基金预算财政拨款的总收支和年末结转结余情况。本表金额转换为万元时，因四舍五入可能存在尾差。</w:t>
            </w:r>
          </w:p>
        </w:tc>
      </w:tr>
    </w:tbl>
    <w:p>
      <w:pPr>
        <w:shd w:val="clea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170" w:type="dxa"/>
        <w:tblInd w:w="0" w:type="dxa"/>
        <w:shd w:val="clear" w:color="auto" w:fill="auto"/>
        <w:tblLayout w:type="autofit"/>
        <w:tblCellMar>
          <w:top w:w="0" w:type="dxa"/>
          <w:left w:w="0" w:type="dxa"/>
          <w:bottom w:w="0" w:type="dxa"/>
          <w:right w:w="0" w:type="dxa"/>
        </w:tblCellMar>
      </w:tblPr>
      <w:tblGrid>
        <w:gridCol w:w="2119"/>
        <w:gridCol w:w="42"/>
        <w:gridCol w:w="42"/>
        <w:gridCol w:w="5818"/>
        <w:gridCol w:w="1595"/>
        <w:gridCol w:w="1595"/>
        <w:gridCol w:w="1959"/>
      </w:tblGrid>
      <w:tr>
        <w:tblPrEx>
          <w:shd w:val="clear" w:color="auto" w:fill="auto"/>
          <w:tblCellMar>
            <w:top w:w="0" w:type="dxa"/>
            <w:left w:w="0" w:type="dxa"/>
            <w:bottom w:w="0" w:type="dxa"/>
            <w:right w:w="0" w:type="dxa"/>
          </w:tblCellMar>
        </w:tblPrEx>
        <w:trPr>
          <w:trHeight w:val="390" w:hRule="atLeast"/>
        </w:trPr>
        <w:tc>
          <w:tcPr>
            <w:tcW w:w="13170" w:type="dxa"/>
            <w:gridSpan w:val="7"/>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部门：濮阳县审计局</w:t>
            </w: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83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231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50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1,939.25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1,939.25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审计事务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审计业务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信息化建设</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1,009.00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1,009.00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2010899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其他审计事务支出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注：本表反映部门本年度一般公共预算财政拨款支出情况。本表金额转换为万元时，因四舍五入可能存在尾差。</w:t>
            </w:r>
          </w:p>
        </w:tc>
      </w:tr>
    </w:tbl>
    <w:p>
      <w:pPr>
        <w:shd w:val="clea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shd w:val="clear" w:color="auto" w:fill="auto"/>
        <w:tblLayout w:type="fixed"/>
        <w:tblCellMar>
          <w:top w:w="0" w:type="dxa"/>
          <w:left w:w="0" w:type="dxa"/>
          <w:bottom w:w="0" w:type="dxa"/>
          <w:right w:w="0" w:type="dxa"/>
        </w:tblCellMar>
      </w:tblPr>
      <w:tblGrid>
        <w:gridCol w:w="1380"/>
        <w:gridCol w:w="2394"/>
        <w:gridCol w:w="898"/>
        <w:gridCol w:w="1070"/>
        <w:gridCol w:w="1739"/>
        <w:gridCol w:w="784"/>
        <w:gridCol w:w="888"/>
        <w:gridCol w:w="3096"/>
        <w:gridCol w:w="1012"/>
      </w:tblGrid>
      <w:tr>
        <w:tblPrEx>
          <w:shd w:val="clear" w:color="auto" w:fill="auto"/>
          <w:tblCellMar>
            <w:top w:w="0" w:type="dxa"/>
            <w:left w:w="0" w:type="dxa"/>
            <w:bottom w:w="0" w:type="dxa"/>
            <w:right w:w="0" w:type="dxa"/>
          </w:tblCellMar>
        </w:tblPrEx>
        <w:trPr>
          <w:trHeight w:val="489" w:hRule="exact"/>
        </w:trPr>
        <w:tc>
          <w:tcPr>
            <w:tcW w:w="13261" w:type="dxa"/>
            <w:gridSpan w:val="9"/>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27" w:hRule="exact"/>
        </w:trPr>
        <w:tc>
          <w:tcPr>
            <w:tcW w:w="138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2394"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898"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107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1739"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784"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888"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3096"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1012"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公开06表</w:t>
            </w:r>
          </w:p>
        </w:tc>
      </w:tr>
      <w:tr>
        <w:tblPrEx>
          <w:tblCellMar>
            <w:top w:w="0" w:type="dxa"/>
            <w:left w:w="0" w:type="dxa"/>
            <w:bottom w:w="0" w:type="dxa"/>
            <w:right w:w="0" w:type="dxa"/>
          </w:tblCellMar>
        </w:tblPrEx>
        <w:trPr>
          <w:trHeight w:val="227" w:hRule="exact"/>
        </w:trPr>
        <w:tc>
          <w:tcPr>
            <w:tcW w:w="138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部门：濮阳县审计局</w:t>
            </w:r>
          </w:p>
        </w:tc>
        <w:tc>
          <w:tcPr>
            <w:tcW w:w="2394"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898"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1070"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1739"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784"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888"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3096"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rPr>
                <w:rFonts w:hint="default" w:ascii="Arial" w:hAnsi="Arial" w:cs="Arial"/>
                <w:i w:val="0"/>
                <w:color w:val="000000"/>
                <w:sz w:val="15"/>
                <w:szCs w:val="15"/>
                <w:u w:val="none"/>
              </w:rPr>
            </w:pPr>
          </w:p>
        </w:tc>
        <w:tc>
          <w:tcPr>
            <w:tcW w:w="1012" w:type="dxa"/>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bottom"/>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金额单位：万元</w:t>
            </w:r>
          </w:p>
        </w:tc>
      </w:tr>
      <w:tr>
        <w:tblPrEx>
          <w:tblCellMar>
            <w:top w:w="0" w:type="dxa"/>
            <w:left w:w="0" w:type="dxa"/>
            <w:bottom w:w="0" w:type="dxa"/>
            <w:right w:w="0" w:type="dxa"/>
          </w:tblCellMar>
        </w:tblPrEx>
        <w:trPr>
          <w:trHeight w:val="227" w:hRule="exact"/>
        </w:trPr>
        <w:tc>
          <w:tcPr>
            <w:tcW w:w="467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85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科目编码</w:t>
            </w:r>
          </w:p>
        </w:tc>
        <w:tc>
          <w:tcPr>
            <w:tcW w:w="239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科目名称</w:t>
            </w:r>
          </w:p>
        </w:tc>
        <w:tc>
          <w:tcPr>
            <w:tcW w:w="8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决算数</w:t>
            </w:r>
          </w:p>
        </w:tc>
        <w:tc>
          <w:tcPr>
            <w:tcW w:w="10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科目编码</w:t>
            </w:r>
          </w:p>
        </w:tc>
        <w:tc>
          <w:tcPr>
            <w:tcW w:w="173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科目名称</w:t>
            </w:r>
          </w:p>
        </w:tc>
        <w:tc>
          <w:tcPr>
            <w:tcW w:w="7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决算数</w:t>
            </w:r>
          </w:p>
        </w:tc>
        <w:tc>
          <w:tcPr>
            <w:tcW w:w="8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科目编码</w:t>
            </w:r>
          </w:p>
        </w:tc>
        <w:tc>
          <w:tcPr>
            <w:tcW w:w="30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科目名称</w:t>
            </w:r>
          </w:p>
        </w:tc>
        <w:tc>
          <w:tcPr>
            <w:tcW w:w="10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决算数</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工资福利支出</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1,496.43</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商品和服务支出</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402.08</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611.54</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67.58</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98.42</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40.40</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217.46</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资本性支出</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14.75</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30106</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伙食补助费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30204</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手续费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30107</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绩效工资</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121.59</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30205</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水费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1.64</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14.75</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30108</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116.92</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30206</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电费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11.96</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30109</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职业年金缴费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52.20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30207</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邮电费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34.70</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31005</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基础设施建设</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30110</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46.80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30208</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取暖费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3.30</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31006</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大型修缮</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30111</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30209</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物业管理费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11.05</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31007</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30112</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41.33</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30211</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差旅费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33.92</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31008</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物资储备</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30113</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住房公积金</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34.21</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30212</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31009</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土地补偿</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30114</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30213</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维修（护）费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23.75</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31010</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安置补助</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30199</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155.96</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30214</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租赁费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31.06</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31011</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对个人和家庭的补助</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25.99</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30215</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会议费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0.73</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31012</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拆迁补偿</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40.91</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31013</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公务用车购置</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31019</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31021</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5.23</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31022</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无形资产购置</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16.63</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7.20</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399</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其他支出</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1.28</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0.20</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39906</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赠与</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16.68</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39907</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国家赔偿费用支出</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5.78</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39908</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对民间非营利组织和群众性自治组织补贴</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个人农业生产补贴</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30231</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公务用车运行维护费</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6.80</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39999</w:t>
            </w: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其他支出</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30399</w:t>
            </w: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其他对个人和家庭的补助</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2.85</w:t>
            </w: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30239</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其他交通费用</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30.91</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30240</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税金及附加费用</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0.00</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27" w:hRule="exac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23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c>
          <w:tcPr>
            <w:tcW w:w="10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30299</w:t>
            </w:r>
          </w:p>
        </w:tc>
        <w:tc>
          <w:tcPr>
            <w:tcW w:w="173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其他商品和服务支出</w:t>
            </w:r>
          </w:p>
        </w:tc>
        <w:tc>
          <w:tcPr>
            <w:tcW w:w="7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33.51</w:t>
            </w:r>
          </w:p>
        </w:tc>
        <w:tc>
          <w:tcPr>
            <w:tcW w:w="8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3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5"/>
                <w:szCs w:val="15"/>
                <w:u w:val="none"/>
              </w:rPr>
            </w:pP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27" w:hRule="exact"/>
        </w:trPr>
        <w:tc>
          <w:tcPr>
            <w:tcW w:w="377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8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1,522.42</w:t>
            </w:r>
          </w:p>
        </w:tc>
        <w:tc>
          <w:tcPr>
            <w:tcW w:w="757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0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416.83</w:t>
            </w:r>
          </w:p>
        </w:tc>
      </w:tr>
      <w:tr>
        <w:tblPrEx>
          <w:tblCellMar>
            <w:top w:w="0" w:type="dxa"/>
            <w:left w:w="0" w:type="dxa"/>
            <w:bottom w:w="0" w:type="dxa"/>
            <w:right w:w="0" w:type="dxa"/>
          </w:tblCellMar>
        </w:tblPrEx>
        <w:trPr>
          <w:trHeight w:val="227" w:hRule="exact"/>
        </w:trPr>
        <w:tc>
          <w:tcPr>
            <w:tcW w:w="13261"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shd w:val="clear"/>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注：本表反映部门本年度一般公共预算财政拨款基本支出明细情况。本表金额转换为万元时，因四舍五入可能存在尾差。</w:t>
            </w:r>
          </w:p>
        </w:tc>
      </w:tr>
    </w:tbl>
    <w:p>
      <w:pPr>
        <w:shd w:val="clea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shd w:val="clear" w:color="auto" w:fill="auto"/>
        <w:tblLayout w:type="autofit"/>
        <w:tblCellMar>
          <w:top w:w="0" w:type="dxa"/>
          <w:left w:w="0" w:type="dxa"/>
          <w:bottom w:w="0" w:type="dxa"/>
          <w:right w:w="0" w:type="dxa"/>
        </w:tblCellMar>
      </w:tblPr>
      <w:tblGrid>
        <w:gridCol w:w="2154"/>
        <w:gridCol w:w="1416"/>
        <w:gridCol w:w="553"/>
        <w:gridCol w:w="1139"/>
        <w:gridCol w:w="1139"/>
        <w:gridCol w:w="921"/>
        <w:gridCol w:w="554"/>
        <w:gridCol w:w="1416"/>
        <w:gridCol w:w="554"/>
        <w:gridCol w:w="1138"/>
        <w:gridCol w:w="1139"/>
        <w:gridCol w:w="1684"/>
      </w:tblGrid>
      <w:tr>
        <w:tblPrEx>
          <w:shd w:val="clear" w:color="auto" w:fill="auto"/>
          <w:tblCellMar>
            <w:top w:w="0" w:type="dxa"/>
            <w:left w:w="0" w:type="dxa"/>
            <w:bottom w:w="0" w:type="dxa"/>
            <w:right w:w="0" w:type="dxa"/>
          </w:tblCellMar>
        </w:tblPrEx>
        <w:trPr>
          <w:trHeight w:val="540" w:hRule="atLeast"/>
        </w:trPr>
        <w:tc>
          <w:tcPr>
            <w:tcW w:w="0" w:type="auto"/>
            <w:gridSpan w:val="12"/>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部门：濮阳县审计局</w:t>
            </w: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0" w:type="auto"/>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0" w:type="auto"/>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0" w:type="auto"/>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0" w:type="auto"/>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6.80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615" w:hRule="atLeast"/>
        </w:trPr>
        <w:tc>
          <w:tcPr>
            <w:tcW w:w="0" w:type="auto"/>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shd w:val="clea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0" w:type="auto"/>
        <w:tblInd w:w="0" w:type="dxa"/>
        <w:shd w:val="clear" w:color="auto" w:fill="auto"/>
        <w:tblLayout w:type="fixed"/>
        <w:tblCellMar>
          <w:top w:w="0" w:type="dxa"/>
          <w:left w:w="0" w:type="dxa"/>
          <w:bottom w:w="0" w:type="dxa"/>
          <w:right w:w="0" w:type="dxa"/>
        </w:tblCellMar>
      </w:tblPr>
      <w:tblGrid>
        <w:gridCol w:w="1830"/>
        <w:gridCol w:w="36"/>
        <w:gridCol w:w="36"/>
        <w:gridCol w:w="1175"/>
        <w:gridCol w:w="1805"/>
        <w:gridCol w:w="1013"/>
        <w:gridCol w:w="917"/>
        <w:gridCol w:w="1567"/>
        <w:gridCol w:w="1997"/>
        <w:gridCol w:w="3153"/>
      </w:tblGrid>
      <w:tr>
        <w:tblPrEx>
          <w:shd w:val="clear" w:color="auto" w:fill="auto"/>
          <w:tblCellMar>
            <w:top w:w="0" w:type="dxa"/>
            <w:left w:w="0" w:type="dxa"/>
            <w:bottom w:w="0" w:type="dxa"/>
            <w:right w:w="0" w:type="dxa"/>
          </w:tblCellMar>
        </w:tblPrEx>
        <w:trPr>
          <w:trHeight w:val="850" w:hRule="atLeast"/>
        </w:trPr>
        <w:tc>
          <w:tcPr>
            <w:tcW w:w="13529" w:type="dxa"/>
            <w:gridSpan w:val="10"/>
            <w:tcBorders>
              <w:top w:val="nil"/>
              <w:left w:val="nil"/>
              <w:bottom w:val="nil"/>
              <w:right w:val="nil"/>
            </w:tcBorders>
            <w:shd w:val="clear" w:color="auto" w:fill="auto"/>
            <w:noWrap/>
            <w:tcMar>
              <w:top w:w="15" w:type="dxa"/>
              <w:left w:w="15" w:type="dxa"/>
              <w:right w:w="15" w:type="dxa"/>
            </w:tcMar>
            <w:vAlign w:val="bottom"/>
          </w:tcPr>
          <w:p>
            <w:pPr>
              <w:shd w:val="clea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442" w:hRule="atLeast"/>
        </w:trPr>
        <w:tc>
          <w:tcPr>
            <w:tcW w:w="1830"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175"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805"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013"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7"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567"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997"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15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442" w:hRule="atLeast"/>
        </w:trPr>
        <w:tc>
          <w:tcPr>
            <w:tcW w:w="1830"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部门：濮阳县审计局</w:t>
            </w: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6"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175"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805"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013"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917"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567"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1997" w:type="dxa"/>
            <w:tcBorders>
              <w:top w:val="nil"/>
              <w:left w:val="nil"/>
              <w:bottom w:val="nil"/>
              <w:right w:val="nil"/>
            </w:tcBorders>
            <w:shd w:val="clear" w:color="auto" w:fill="auto"/>
            <w:noWrap/>
            <w:tcMar>
              <w:top w:w="15" w:type="dxa"/>
              <w:left w:w="15" w:type="dxa"/>
              <w:right w:w="15" w:type="dxa"/>
            </w:tcMar>
            <w:vAlign w:val="bottom"/>
          </w:tcPr>
          <w:p>
            <w:pPr>
              <w:shd w:val="clear"/>
              <w:rPr>
                <w:rFonts w:hint="default" w:ascii="Arial" w:hAnsi="Arial" w:cs="Arial"/>
                <w:i w:val="0"/>
                <w:color w:val="000000"/>
                <w:sz w:val="20"/>
                <w:szCs w:val="20"/>
                <w:u w:val="none"/>
              </w:rPr>
            </w:pPr>
          </w:p>
        </w:tc>
        <w:tc>
          <w:tcPr>
            <w:tcW w:w="315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hd w:val="clear"/>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466" w:hRule="atLeast"/>
        </w:trPr>
        <w:tc>
          <w:tcPr>
            <w:tcW w:w="307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5"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013"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48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3153"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466" w:hRule="atLeast"/>
        </w:trPr>
        <w:tc>
          <w:tcPr>
            <w:tcW w:w="1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功能分类</w:t>
            </w:r>
          </w:p>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5"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1013"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6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9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3153"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shd w:val="clea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6" w:hRule="atLeast"/>
        </w:trPr>
        <w:tc>
          <w:tcPr>
            <w:tcW w:w="307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9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1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466" w:hRule="atLeast"/>
        </w:trPr>
        <w:tc>
          <w:tcPr>
            <w:tcW w:w="3077"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c>
          <w:tcPr>
            <w:tcW w:w="1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c>
          <w:tcPr>
            <w:tcW w:w="19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c>
          <w:tcPr>
            <w:tcW w:w="31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66"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8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9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1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6"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8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9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1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6"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8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9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1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6"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8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9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1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6"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8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9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1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6" w:hRule="atLeast"/>
        </w:trPr>
        <w:tc>
          <w:tcPr>
            <w:tcW w:w="190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1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left"/>
              <w:rPr>
                <w:rFonts w:hint="eastAsia" w:ascii="宋体" w:hAnsi="宋体" w:eastAsia="宋体" w:cs="宋体"/>
                <w:i w:val="0"/>
                <w:color w:val="000000"/>
                <w:sz w:val="22"/>
                <w:szCs w:val="22"/>
                <w:u w:val="none"/>
              </w:rPr>
            </w:pPr>
          </w:p>
        </w:tc>
        <w:tc>
          <w:tcPr>
            <w:tcW w:w="18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0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19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c>
          <w:tcPr>
            <w:tcW w:w="31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hd w:val="clea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66" w:hRule="atLeast"/>
        </w:trPr>
        <w:tc>
          <w:tcPr>
            <w:tcW w:w="13529"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shd w:val="clear"/>
        <w:jc w:val="both"/>
        <w:outlineLvl w:val="9"/>
        <w:rPr>
          <w:rFonts w:hint="eastAsia" w:ascii="仿宋_GB2312" w:hAnsi="仿宋_GB2312" w:eastAsia="仿宋_GB2312" w:cs="仿宋_GB2312"/>
          <w:color w:val="auto"/>
          <w:sz w:val="44"/>
          <w:szCs w:val="44"/>
          <w:highlight w:val="yellow"/>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28"/>
          <w:szCs w:val="28"/>
          <w:highlight w:val="yellow"/>
          <w:lang w:val="en-US" w:eastAsia="zh-CN"/>
        </w:rPr>
        <w:t>说明：我部门没有政府性基金收入，也没有使用政府性基金安排的支出，故本表无数据</w:t>
      </w: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shd w:val="clea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w:t>
      </w:r>
      <w:r>
        <w:rPr>
          <w:rFonts w:hint="eastAsia" w:ascii="黑体" w:hAnsi="黑体" w:eastAsia="黑体" w:cs="黑体"/>
          <w:color w:val="auto"/>
          <w:sz w:val="48"/>
          <w:szCs w:val="48"/>
          <w:highlight w:val="none"/>
          <w:lang w:val="en-US" w:eastAsia="zh-CN"/>
        </w:rPr>
        <w:t>9</w:t>
      </w:r>
      <w:r>
        <w:rPr>
          <w:rFonts w:hint="eastAsia" w:ascii="黑体" w:hAnsi="黑体" w:eastAsia="黑体" w:cs="黑体"/>
          <w:color w:val="auto"/>
          <w:sz w:val="48"/>
          <w:szCs w:val="48"/>
          <w:highlight w:val="none"/>
          <w:lang w:eastAsia="zh-CN"/>
        </w:rPr>
        <w:t>年度</w:t>
      </w:r>
      <w:r>
        <w:rPr>
          <w:rFonts w:hint="eastAsia" w:ascii="黑体" w:hAnsi="黑体" w:eastAsia="黑体" w:cs="黑体"/>
          <w:color w:val="auto"/>
          <w:sz w:val="48"/>
          <w:szCs w:val="48"/>
          <w:highlight w:val="none"/>
        </w:rPr>
        <w:t>部门决算情况说明</w:t>
      </w:r>
    </w:p>
    <w:p>
      <w:pPr>
        <w:widowControl/>
        <w:shd w:val="clear"/>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2019年度收、支总计均为1,939.25万元。与上年度相比，收、支总计各增加310.24万元，增长19%。主要原因是自筹人员工资纳入财政支出。</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2019年度收入合计1,939.25万元，其中：财政拨款收入1,939.25万元，占100%。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2019年度支出合计1,939.25万元，其中：基本支出1,939.25万元，占100%。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2019年度财政拨款收、支总计均为1,939.25万元。与上年度相比，财政拨款收、支总计各增加310.24万元，增长19%。主要原因是自筹人员工资纳入财政支出。</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2019年度一般公共预算财政拨款支出1,939.25万元，占本年支出合计的100%。与上年度相比，一般公共预算财政拨款支出增加310.24万元，增长19%。主要原因是自筹人员工资纳入财政支出。</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2019年度一般公共预算财政拨款支出1,939.25万元，主要用于以下方面：一般公共服务（类）支出1892万元，占97.5%。社会保障和就业支出（类）支出19.48万元，占1%，卫生健康支出（类）支出27.77万元，占1.4%。</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2019年度一般公共预算财政拨款支出年初预算为1,939.25万元，支出决算为1,939.25万元，完成年初预算的100%。其中：</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1．一般公共服务支出（类）审计事务（款）行政运行（项）</w:t>
      </w:r>
      <w:r>
        <w:rPr>
          <w:rFonts w:hint="eastAsia" w:ascii="仿宋_GB2312" w:hAnsi="仿宋_GB2312" w:eastAsia="仿宋_GB2312" w:cs="仿宋_GB2312"/>
          <w:color w:val="auto"/>
          <w:sz w:val="32"/>
          <w:szCs w:val="32"/>
          <w:highlight w:val="none"/>
          <w:lang w:val="en-US" w:eastAsia="zh-CN"/>
        </w:rPr>
        <w:t>年初预算为387万元，支出决算为387万元，完成年初预算的100%。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2．一般公共服务支出（类）审计事务（款）审计业务（项）</w:t>
      </w:r>
      <w:r>
        <w:rPr>
          <w:rFonts w:hint="eastAsia" w:ascii="仿宋_GB2312" w:hAnsi="仿宋_GB2312" w:eastAsia="仿宋_GB2312" w:cs="仿宋_GB2312"/>
          <w:color w:val="auto"/>
          <w:sz w:val="32"/>
          <w:szCs w:val="32"/>
          <w:highlight w:val="none"/>
          <w:lang w:val="en-US" w:eastAsia="zh-CN"/>
        </w:rPr>
        <w:t>年初预算为457万元，支出决算为457万元，完成年初预算的100%。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3．一般公共服务支出（类）审计事务（款）信息化建设（项）</w:t>
      </w:r>
      <w:r>
        <w:rPr>
          <w:rFonts w:hint="eastAsia" w:ascii="仿宋_GB2312" w:hAnsi="仿宋_GB2312" w:eastAsia="仿宋_GB2312" w:cs="仿宋_GB2312"/>
          <w:color w:val="auto"/>
          <w:sz w:val="32"/>
          <w:szCs w:val="32"/>
          <w:highlight w:val="none"/>
          <w:lang w:val="en-US" w:eastAsia="zh-CN"/>
        </w:rPr>
        <w:t>年初预算为25万元，支出决算为25万元，完成年初预算的100%。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4．一般公共服务支出（类）审计事务（款）事业运行（项）</w:t>
      </w:r>
      <w:r>
        <w:rPr>
          <w:rFonts w:hint="eastAsia" w:ascii="仿宋_GB2312" w:hAnsi="仿宋_GB2312" w:eastAsia="仿宋_GB2312" w:cs="仿宋_GB2312"/>
          <w:color w:val="auto"/>
          <w:sz w:val="32"/>
          <w:szCs w:val="32"/>
          <w:highlight w:val="none"/>
          <w:lang w:val="en-US" w:eastAsia="zh-CN"/>
        </w:rPr>
        <w:t>年初预算为1009万元，支出决算为1009万元，完成年初预算的100%。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5一般公共服务支出（类）审计事务（款）其他审计事务支出（项）</w:t>
      </w:r>
      <w:r>
        <w:rPr>
          <w:rFonts w:hint="eastAsia" w:ascii="仿宋_GB2312" w:hAnsi="仿宋_GB2312" w:eastAsia="仿宋_GB2312" w:cs="仿宋_GB2312"/>
          <w:color w:val="auto"/>
          <w:sz w:val="32"/>
          <w:szCs w:val="32"/>
          <w:highlight w:val="none"/>
          <w:lang w:val="en-US" w:eastAsia="zh-CN"/>
        </w:rPr>
        <w:t>年初预算为14万元，支出决算为14</w:t>
      </w:r>
      <w:bookmarkStart w:id="0" w:name="_GoBack"/>
      <w:bookmarkEnd w:id="0"/>
      <w:r>
        <w:rPr>
          <w:rFonts w:hint="eastAsia" w:ascii="仿宋_GB2312" w:hAnsi="仿宋_GB2312" w:eastAsia="仿宋_GB2312" w:cs="仿宋_GB2312"/>
          <w:color w:val="auto"/>
          <w:sz w:val="32"/>
          <w:szCs w:val="32"/>
          <w:highlight w:val="none"/>
          <w:lang w:val="en-US" w:eastAsia="zh-CN"/>
        </w:rPr>
        <w:t>万元，完成年初预算的100%。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6．社会保障和就业支出（类）行政事业单位离退休（款）其他行政事业单位离退休支出（项）。</w:t>
      </w:r>
      <w:r>
        <w:rPr>
          <w:rFonts w:hint="eastAsia" w:ascii="仿宋_GB2312" w:hAnsi="仿宋_GB2312" w:eastAsia="仿宋_GB2312" w:cs="仿宋_GB2312"/>
          <w:color w:val="auto"/>
          <w:sz w:val="32"/>
          <w:szCs w:val="32"/>
          <w:highlight w:val="none"/>
          <w:lang w:val="en-US" w:eastAsia="zh-CN"/>
        </w:rPr>
        <w:t>年初预算为19.48万元，支出决算为19.48万元，完成年初预算的100%。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7．卫生健康支出（类）行政事业单位医疗（款）行政单位医疗（项）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年初预算为13.11万元，支出决算为13.11万元，完成年初预算的100%。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年初预算为14.66万元，支出决算为14.66万元，完成年初预算的100%。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一般公共预算财政拨款基本支出1939.25万元。较上年度增加310.24万元，增加19%。整长的主要原因是：主要原因是自筹人员工资纳入财政支出。其中：人员经费1,522.42万元，主要包括：基本工资、津贴补贴、奖金、绩效工资、机关事业单位基本养老保险缴费、职业年金缴费、职工基本医疗保险缴费、其他社会保障缴费、住房公积金、其他工资福利支出、抚恤金、生活补助、医疗费补助、其他对个人和家庭的补助支出；公用经费416.83万元，主要包括：办公费、印刷费、水费、电费、邮电费、取暖费、物业管理费、差旅费、维修（护）费、租赁费、会议费、培训费、劳务费、委托业务费、工会经费、福利费、公务用车运行维护费、其他交通费用、其他商品和服务支出、其他资本性支出。</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2019年度“三公”经费财政拨款支出预算为6.8万元，支出决算为6.8万元，完成预算的100%。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三公”经费财政拨款支出决算中，因公出国（境）费支出决算0万元，完成预算的0%，占0%；公务用车购置及运行费支出决算6.8万元，完成预算的100%，占100%；公务接待费支出决算0万元，完成预算的0%，占0%。具体情况如下：</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初预算为6.8万元，支出决算为6.8万元，完成年初预算的100%。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为0万元，购置车辆0辆。</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6.8万元。主要用于审计业务及其他公务活。2019年期末，部门开支财政拨款的公务用车保有量为1辆。</w:t>
      </w:r>
    </w:p>
    <w:p>
      <w:pPr>
        <w:keepNext w:val="0"/>
        <w:keepLines w:val="0"/>
        <w:pageBreakBefore w:val="0"/>
        <w:widowControl/>
        <w:numPr>
          <w:ilvl w:val="0"/>
          <w:numId w:val="2"/>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公务接待费</w:t>
      </w:r>
      <w:r>
        <w:rPr>
          <w:rFonts w:hint="eastAsia" w:ascii="仿宋_GB2312" w:hAnsi="仿宋_GB2312" w:eastAsia="仿宋_GB2312" w:cs="仿宋_GB2312"/>
          <w:b w:val="0"/>
          <w:bCs w:val="0"/>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初预算为0万元，支出决算为0万元，完成年初预算的0%。</w:t>
      </w:r>
    </w:p>
    <w:p>
      <w:pPr>
        <w:keepNext w:val="0"/>
        <w:keepLines w:val="0"/>
        <w:pageBreakBefore w:val="0"/>
        <w:widowControl/>
        <w:numPr>
          <w:ilvl w:val="0"/>
          <w:numId w:val="2"/>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0万元。2019年共接待国（境）外来访团组0个、来访外宾0人次（不包括陪同人员）。</w:t>
      </w:r>
    </w:p>
    <w:p>
      <w:pPr>
        <w:keepNext w:val="0"/>
        <w:keepLines w:val="0"/>
        <w:pageBreakBefore w:val="0"/>
        <w:widowControl/>
        <w:numPr>
          <w:ilvl w:val="0"/>
          <w:numId w:val="0"/>
        </w:numPr>
        <w:shd w:val="clea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0万元。2019年共接待国内来访团组0个、来宾0人次（不包括陪同人员）。</w:t>
      </w:r>
    </w:p>
    <w:p>
      <w:pPr>
        <w:keepNext w:val="0"/>
        <w:keepLines w:val="0"/>
        <w:pageBreakBefore w:val="0"/>
        <w:widowControl/>
        <w:numPr>
          <w:ilvl w:val="0"/>
          <w:numId w:val="3"/>
        </w:numPr>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按照有关要求，2019年，对市财政转移支付的项目经费 全部纳入绩效目标管理，实现全覆盖。</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项目立项比较规范，绩效目标明确，预算编制较为合理， 完成情况良好，基本达到预期绩效目标。</w:t>
      </w:r>
    </w:p>
    <w:p>
      <w:pPr>
        <w:widowControl/>
        <w:numPr>
          <w:ilvl w:val="0"/>
          <w:numId w:val="0"/>
        </w:numPr>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重点绩效评价结果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lang w:val="en-US" w:eastAsia="zh-CN"/>
        </w:rPr>
      </w:pPr>
      <w:r>
        <w:rPr>
          <w:rFonts w:hint="eastAsia" w:ascii="仿宋" w:hAnsi="仿宋" w:eastAsia="仿宋" w:cs="仿宋"/>
          <w:b w:val="0"/>
          <w:bCs w:val="0"/>
          <w:sz w:val="32"/>
          <w:szCs w:val="32"/>
          <w:lang w:eastAsia="zh-CN"/>
        </w:rPr>
        <w:t>我部门</w:t>
      </w:r>
      <w:r>
        <w:rPr>
          <w:rFonts w:hint="eastAsia" w:ascii="仿宋" w:hAnsi="仿宋" w:eastAsia="仿宋" w:cs="仿宋"/>
          <w:b w:val="0"/>
          <w:bCs w:val="0"/>
          <w:sz w:val="32"/>
          <w:szCs w:val="32"/>
          <w:lang w:val="en-US" w:eastAsia="zh-CN"/>
        </w:rPr>
        <w:t>无重点绩效评价项目</w:t>
      </w:r>
      <w:r>
        <w:rPr>
          <w:rFonts w:hint="eastAsia" w:ascii="仿宋" w:hAnsi="仿宋" w:eastAsia="仿宋" w:cs="仿宋"/>
          <w:b w:val="0"/>
          <w:bCs w:val="0"/>
          <w:sz w:val="32"/>
          <w:szCs w:val="32"/>
          <w:lang w:eastAsia="zh-CN"/>
        </w:rPr>
        <w:t>。</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2019年度政府性基金预算财政拨款支出年初预算为0万元，支出决算为0万元，完成年初预算的0%。我部门没有政府性基金收入，也没有使用政府性基金安排的支出。</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w:t>
      </w:r>
      <w:r>
        <w:rPr>
          <w:rFonts w:hint="eastAsia" w:ascii="仿宋_GB2312" w:hAnsi="仿宋_GB2312" w:eastAsia="仿宋_GB2312" w:cs="仿宋_GB2312"/>
          <w:color w:val="auto"/>
          <w:sz w:val="32"/>
          <w:szCs w:val="32"/>
          <w:highlight w:val="none"/>
          <w:u w:val="none"/>
          <w:lang w:val="en-US" w:eastAsia="zh-CN"/>
        </w:rPr>
        <w:t>年</w:t>
      </w:r>
      <w:r>
        <w:rPr>
          <w:rFonts w:hint="eastAsia" w:ascii="仿宋_GB2312" w:hAnsi="仿宋_GB2312" w:eastAsia="仿宋_GB2312" w:cs="仿宋_GB2312"/>
          <w:color w:val="auto"/>
          <w:sz w:val="32"/>
          <w:szCs w:val="32"/>
          <w:highlight w:val="none"/>
          <w:lang w:val="en-US" w:eastAsia="zh-CN"/>
        </w:rPr>
        <w:t>初预算为402.08万元，支出决算为402.08万元，完成年初预算的100%。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color w:val="auto"/>
          <w:sz w:val="32"/>
          <w:szCs w:val="32"/>
          <w:highlight w:val="none"/>
          <w:lang w:val="en-US" w:eastAsia="zh-CN"/>
        </w:rPr>
        <w:t>2019年度机关运行经费支出402.08万元，较上年度增加68.999万元，增长20.7%。整长的主要原因是：自筹人员工资纳入财政支出。</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政府采购支出总额14.75万元，其中：政府采购货物支出14.75万元、政府采购工程支出0万元、政府采购服务支出0万元。授予中小企业合同金额0万元，占政府采购支出总额的0%，其中：授予小微企业合同金额0万元，占政府采购支出总额的0%。</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期末，我部门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pStyle w:val="2"/>
        <w:shd w:val="clear"/>
        <w:rPr>
          <w:rFonts w:hint="eastAsia"/>
          <w:lang w:val="en-US" w:eastAsia="zh-CN"/>
        </w:rPr>
      </w:pPr>
    </w:p>
    <w:p>
      <w:pPr>
        <w:widowControl/>
        <w:shd w:val="clear"/>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widowControl/>
        <w:shd w:val="clear"/>
        <w:jc w:val="left"/>
        <w:rPr>
          <w:rFonts w:hint="eastAsia" w:ascii="黑体" w:hAnsi="宋体" w:eastAsia="黑体" w:cs="宋体"/>
          <w:color w:val="auto"/>
          <w:kern w:val="0"/>
          <w:sz w:val="28"/>
          <w:szCs w:val="28"/>
          <w:highlight w:val="none"/>
          <w:lang w:val="en-US" w:eastAsia="zh-CN"/>
        </w:rPr>
      </w:pPr>
    </w:p>
    <w:p>
      <w:pPr>
        <w:shd w:val="clea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shd w:val="clear"/>
        <w:jc w:val="center"/>
        <w:outlineLvl w:val="9"/>
        <w:rPr>
          <w:rFonts w:hint="eastAsia" w:ascii="黑体" w:hAnsi="黑体" w:eastAsia="黑体" w:cs="黑体"/>
          <w:color w:val="auto"/>
          <w:sz w:val="48"/>
          <w:szCs w:val="48"/>
          <w:highlight w:val="none"/>
        </w:rPr>
      </w:pPr>
    </w:p>
    <w:p>
      <w:pPr>
        <w:shd w:val="clea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shd w:val="clear"/>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shd w:val="clear"/>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- 3 -</w:t>
                    </w:r>
                    <w:r>
                      <w:rPr>
                        <w:rFonts w:hint="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- 2 -</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56BC3C"/>
    <w:multiLevelType w:val="singleLevel"/>
    <w:tmpl w:val="FE56BC3C"/>
    <w:lvl w:ilvl="0" w:tentative="0">
      <w:start w:val="3"/>
      <w:numFmt w:val="decimal"/>
      <w:lvlText w:val="%1."/>
      <w:lvlJc w:val="left"/>
      <w:pPr>
        <w:tabs>
          <w:tab w:val="left" w:pos="312"/>
        </w:tabs>
      </w:pPr>
    </w:lvl>
  </w:abstractNum>
  <w:abstractNum w:abstractNumId="1">
    <w:nsid w:val="0D603ACA"/>
    <w:multiLevelType w:val="singleLevel"/>
    <w:tmpl w:val="0D603ACA"/>
    <w:lvl w:ilvl="0" w:tentative="0">
      <w:start w:val="8"/>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4227D"/>
    <w:rsid w:val="003C120E"/>
    <w:rsid w:val="060F7C09"/>
    <w:rsid w:val="0C4C0B78"/>
    <w:rsid w:val="160C122E"/>
    <w:rsid w:val="18B54755"/>
    <w:rsid w:val="18D90250"/>
    <w:rsid w:val="196B1985"/>
    <w:rsid w:val="1EC7291D"/>
    <w:rsid w:val="1F9C1329"/>
    <w:rsid w:val="22B17129"/>
    <w:rsid w:val="34191331"/>
    <w:rsid w:val="359F2340"/>
    <w:rsid w:val="36366DA9"/>
    <w:rsid w:val="383D5E5F"/>
    <w:rsid w:val="3BA157EB"/>
    <w:rsid w:val="3D136019"/>
    <w:rsid w:val="3F785AC9"/>
    <w:rsid w:val="4782728C"/>
    <w:rsid w:val="488C2288"/>
    <w:rsid w:val="4BCE12EE"/>
    <w:rsid w:val="4CE12001"/>
    <w:rsid w:val="4EB66B54"/>
    <w:rsid w:val="53BD2901"/>
    <w:rsid w:val="546E0408"/>
    <w:rsid w:val="55265FBE"/>
    <w:rsid w:val="57D52A28"/>
    <w:rsid w:val="5AF4227D"/>
    <w:rsid w:val="5B1416CA"/>
    <w:rsid w:val="5DD35233"/>
    <w:rsid w:val="65A137D2"/>
    <w:rsid w:val="65EE69E8"/>
    <w:rsid w:val="6E8F5B13"/>
    <w:rsid w:val="6F46303D"/>
    <w:rsid w:val="790B6ABC"/>
    <w:rsid w:val="7D257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3">
    <w:name w:val="annotation text"/>
    <w:basedOn w:val="1"/>
    <w:unhideWhenUsed/>
    <w:qFormat/>
    <w:uiPriority w:val="99"/>
    <w:pPr>
      <w:jc w:val="left"/>
    </w:pPr>
  </w:style>
  <w:style w:type="paragraph" w:styleId="4">
    <w:name w:val="footer"/>
    <w:basedOn w:val="1"/>
    <w:unhideWhenUsed/>
    <w:qFormat/>
    <w:uiPriority w:val="99"/>
    <w:pPr>
      <w:tabs>
        <w:tab w:val="center" w:pos="4153"/>
        <w:tab w:val="right" w:pos="8306"/>
      </w:tabs>
      <w:snapToGrid w:val="0"/>
      <w:jc w:val="left"/>
    </w:pPr>
    <w:rPr>
      <w:sz w:val="18"/>
      <w:szCs w:val="18"/>
    </w:rPr>
  </w:style>
  <w:style w:type="character" w:customStyle="1" w:styleId="7">
    <w:name w:val="font11"/>
    <w:basedOn w:val="6"/>
    <w:qFormat/>
    <w:uiPriority w:val="0"/>
    <w:rPr>
      <w:rFonts w:hint="eastAsia" w:ascii="宋体" w:hAnsi="宋体" w:eastAsia="宋体" w:cs="宋体"/>
      <w:color w:val="000000"/>
      <w:sz w:val="20"/>
      <w:szCs w:val="20"/>
      <w:u w:val="none"/>
    </w:rPr>
  </w:style>
  <w:style w:type="character" w:customStyle="1" w:styleId="8">
    <w:name w:val="font01"/>
    <w:basedOn w:val="6"/>
    <w:qFormat/>
    <w:uiPriority w:val="0"/>
    <w:rPr>
      <w:rFonts w:hint="eastAsia" w:ascii="宋体" w:hAnsi="宋体" w:eastAsia="宋体" w:cs="宋体"/>
      <w:color w:val="000000"/>
      <w:sz w:val="22"/>
      <w:szCs w:val="22"/>
      <w:u w:val="none"/>
    </w:rPr>
  </w:style>
  <w:style w:type="character" w:customStyle="1" w:styleId="9">
    <w:name w:val="font51"/>
    <w:basedOn w:val="6"/>
    <w:uiPriority w:val="0"/>
    <w:rPr>
      <w:rFonts w:hint="eastAsia" w:ascii="宋体" w:hAnsi="宋体" w:eastAsia="宋体" w:cs="宋体"/>
      <w:color w:val="000000"/>
      <w:sz w:val="24"/>
      <w:szCs w:val="24"/>
      <w:u w:val="none"/>
    </w:rPr>
  </w:style>
  <w:style w:type="character" w:customStyle="1" w:styleId="10">
    <w:name w:val="font4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2020-10-27T11:43:00Z</dcterms:created>
  <dc:creator>DELL</dc:creator>
  <cp:lastModifiedBy>Administrator</cp:lastModifiedBy>
  <dcterms:modified xsi:type="dcterms:W3CDTF">2020-12-01T02:27:25Z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