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濮阳县科技局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headerReference r:id="rId3" w:type="default"/>
          <w:footerReference r:id="rId4" w:type="default"/>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 xml:space="preserve">  濮阳县科技局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jc w:val="left"/>
        <w:rPr>
          <w:rFonts w:hint="eastAsia" w:ascii="黑体" w:hAnsi="黑体" w:eastAsia="黑体" w:cs="黑体"/>
          <w:color w:val="auto"/>
          <w:sz w:val="32"/>
          <w:szCs w:val="32"/>
          <w:highlight w:val="none"/>
        </w:rPr>
        <w:sectPr>
          <w:footerReference r:id="rId5" w:type="default"/>
          <w:footerReference r:id="rId6"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濮阳县科技局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pStyle w:val="6"/>
        <w:widowControl/>
        <w:spacing w:beforeAutospacing="0" w:afterAutospacing="0" w:line="640" w:lineRule="exact"/>
        <w:ind w:firstLine="645"/>
        <w:rPr>
          <w:rFonts w:ascii="����" w:hAnsi="����" w:eastAsia="����" w:cs="����"/>
          <w:color w:val="111010"/>
          <w:sz w:val="30"/>
          <w:szCs w:val="30"/>
        </w:rPr>
      </w:pPr>
      <w:r>
        <w:rPr>
          <w:rFonts w:ascii="仿宋_GB2312" w:hAnsi="仿宋_GB2312" w:eastAsia="仿宋_GB2312" w:cs="仿宋_GB2312"/>
          <w:color w:val="111010"/>
          <w:spacing w:val="15"/>
          <w:sz w:val="30"/>
          <w:szCs w:val="30"/>
        </w:rPr>
        <w:t>1.</w:t>
      </w:r>
      <w:r>
        <w:rPr>
          <w:rFonts w:hint="eastAsia" w:ascii="仿宋_GB2312" w:hAnsi="仿宋_GB2312" w:eastAsia="仿宋_GB2312" w:cs="仿宋_GB2312"/>
          <w:color w:val="111010"/>
          <w:spacing w:val="15"/>
          <w:sz w:val="30"/>
          <w:szCs w:val="30"/>
        </w:rPr>
        <w:t>贯彻执行国家科技工作法律、法规和方针、政策；提出全县科技发展战略建议；牵头拟订激励自主创新的规范性文件和政策实施，并组织实施和监督。</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2.牵头拟订全县科学和技术发展规划，确定全县科技发展战略布局和优先发展领域；负责《濮阳县中长期科学和技术发展规划纲要》的实施；会同有关部门推进全县创新体系建设，驱动发展战略实施。</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3.提出全县科技体制改革的政策和重大措施建设，推进全县科技创新体系建设和科技体制改革工作；审核科研机构的组建和调整，优化科研机构布局。</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4.组织制定多渠道增加科技投入的政策措施；会同有关部门统筹管理科技投入，并提出科技资源合理配置的重大政策和措施建议，优化科技资源配置。</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5.制定推动全县应用基础研究、前沿技术研究、社会公益技术研究及产业发展关键和共性技术研究等方面的政策措施；组织全县经济社会发展重要领域的重大关键技术攻关；负责全县科技发展计划的制定与组织实施。</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6.负责全县高新技术发展与产业化工作。会同有关部门拟订高新技术产业化的政策，促进和推动全县高新技术发展及产业化工作；牵头拟订促进高新技术出口的相关政策、措施。</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7.会同有关部门拟订全县促进产学研结合的政策措施；制定科技成果转化和产业化政策，指导科技成果转化工作，组织相关重大科技成果应用示范。</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8.负责全县科技基础能力建设；提出全县科研条件保障规划和政策建议；负责实施全县科技基础条件平台、科技服务平台和企业技术创新平台建设工作；会同有关部门加强科技基本建设；负责科技创业基地的规划布局、指导和监督。</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9.负责全县科技奖励工作；会同有关部门拟定科技人才队伍建设规划，提出相关政策建议；负责全县创新型科技人才、科技领军人才和创新型科技团队建设。</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10.指导全县对外科技合作与交流工作，制定全县开展对外科技合作与交流计划；受县政府委托，负责全县对外科技合作与交流、培训等出国审核工作。</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11.归口管理全县软科学研究和科技档案、科技新闻发布、技术市场等工作。</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12.制定全县科学技术普及工作规划，指导全县科普工作；负责科技中介服务体系建设的总体规划、监督指导；统筹规划、指导全县民营科技企业和科技类民办非企业单位发展。</w:t>
      </w:r>
    </w:p>
    <w:p>
      <w:pPr>
        <w:pStyle w:val="6"/>
        <w:widowControl/>
        <w:spacing w:beforeAutospacing="0" w:afterAutospacing="0" w:line="640" w:lineRule="exact"/>
        <w:ind w:firstLine="645"/>
        <w:rPr>
          <w:rFonts w:ascii="����" w:hAnsi="����" w:eastAsia="����" w:cs="����"/>
          <w:color w:val="111010"/>
          <w:sz w:val="30"/>
          <w:szCs w:val="30"/>
        </w:rPr>
      </w:pPr>
      <w:r>
        <w:rPr>
          <w:rFonts w:hint="eastAsia" w:ascii="仿宋_GB2312" w:hAnsi="仿宋_GB2312" w:eastAsia="仿宋_GB2312" w:cs="仿宋_GB2312"/>
          <w:color w:val="111010"/>
          <w:spacing w:val="15"/>
          <w:sz w:val="30"/>
          <w:szCs w:val="30"/>
        </w:rPr>
        <w:t>13.制定全县科技促进农村和社会发展的政策、措施，研究解决农村和社会发展的重大科技问题。</w:t>
      </w:r>
    </w:p>
    <w:p>
      <w:pPr>
        <w:pStyle w:val="6"/>
        <w:widowControl/>
        <w:spacing w:beforeAutospacing="0" w:afterAutospacing="0" w:line="640" w:lineRule="exact"/>
        <w:ind w:firstLine="645"/>
        <w:rPr>
          <w:rFonts w:hint="eastAsia" w:ascii="仿宋_GB2312" w:hAnsi="宋体" w:eastAsia="仿宋_GB2312" w:cs="宋体"/>
          <w:kern w:val="0"/>
          <w:sz w:val="32"/>
          <w:szCs w:val="32"/>
          <w:lang w:eastAsia="zh-CN"/>
        </w:rPr>
      </w:pPr>
      <w:r>
        <w:rPr>
          <w:rFonts w:hint="eastAsia" w:ascii="仿宋_GB2312" w:hAnsi="仿宋_GB2312" w:eastAsia="仿宋_GB2312" w:cs="仿宋_GB2312"/>
          <w:color w:val="111010"/>
          <w:spacing w:val="15"/>
          <w:sz w:val="30"/>
          <w:szCs w:val="30"/>
        </w:rPr>
        <w:t>14.指导、协调县直各部门的科技管理工作。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濮阳县科技局内设机构4个，包括：办公室、工业科技股、农医科技股、综合股。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从决算单位构成看，濮阳县科技局部门决算是：本级决算。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center"/>
        <w:rPr>
          <w:rFonts w:hint="eastAsia" w:ascii="仿宋_GB2312" w:hAnsi="仿宋_GB2312" w:eastAsia="仿宋_GB2312" w:cs="仿宋_GB2312"/>
          <w:color w:val="auto"/>
          <w:sz w:val="32"/>
          <w:szCs w:val="32"/>
          <w:highlight w:val="none"/>
        </w:rPr>
      </w:pPr>
    </w:p>
    <w:tbl>
      <w:tblPr>
        <w:tblStyle w:val="7"/>
        <w:tblW w:w="14070" w:type="dxa"/>
        <w:tblInd w:w="0" w:type="dxa"/>
        <w:shd w:val="clear" w:color="auto" w:fill="auto"/>
        <w:tblLayout w:type="autofit"/>
        <w:tblCellMar>
          <w:top w:w="0" w:type="dxa"/>
          <w:left w:w="0" w:type="dxa"/>
          <w:bottom w:w="0" w:type="dxa"/>
          <w:right w:w="0" w:type="dxa"/>
        </w:tblCellMar>
      </w:tblPr>
      <w:tblGrid>
        <w:gridCol w:w="4714"/>
        <w:gridCol w:w="665"/>
        <w:gridCol w:w="1288"/>
        <w:gridCol w:w="4714"/>
        <w:gridCol w:w="665"/>
        <w:gridCol w:w="2024"/>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ind w:firstLine="5400" w:firstLineChars="1800"/>
              <w:rPr>
                <w:rFonts w:hint="default" w:ascii="Arial" w:hAnsi="Arial" w:cs="Arial"/>
                <w:i w:val="0"/>
                <w:color w:val="000000"/>
                <w:sz w:val="20"/>
                <w:szCs w:val="20"/>
                <w:u w:val="none"/>
                <w:lang w:val="en-US"/>
              </w:rPr>
            </w:pPr>
            <w:r>
              <w:rPr>
                <w:rFonts w:hint="eastAsia" w:ascii="宋体" w:hAnsi="宋体" w:eastAsia="宋体" w:cs="宋体"/>
                <w:i w:val="0"/>
                <w:color w:val="000000"/>
                <w:kern w:val="0"/>
                <w:sz w:val="30"/>
                <w:szCs w:val="30"/>
                <w:u w:val="none"/>
                <w:lang w:val="en-US" w:eastAsia="zh-CN" w:bidi="ar"/>
              </w:rPr>
              <w:t xml:space="preserve">收入支出决算总表 </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fill="FFFFFF" w:themeFill="background1"/>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hd w:val="clear" w:fill="FFFFFF" w:themeFill="background1"/>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fill="FFFFFF" w:themeFill="background1"/>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hd w:val="clear" w:fill="FFFFFF" w:themeFill="background1"/>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5428" w:type="dxa"/>
        <w:tblInd w:w="0" w:type="dxa"/>
        <w:shd w:val="clear" w:color="auto" w:fill="auto"/>
        <w:tblLayout w:type="autofit"/>
        <w:tblCellMar>
          <w:top w:w="0" w:type="dxa"/>
          <w:left w:w="0" w:type="dxa"/>
          <w:bottom w:w="0" w:type="dxa"/>
          <w:right w:w="0" w:type="dxa"/>
        </w:tblCellMar>
      </w:tblPr>
      <w:tblGrid>
        <w:gridCol w:w="2604"/>
        <w:gridCol w:w="42"/>
        <w:gridCol w:w="42"/>
        <w:gridCol w:w="4402"/>
        <w:gridCol w:w="1347"/>
        <w:gridCol w:w="1254"/>
        <w:gridCol w:w="1097"/>
        <w:gridCol w:w="988"/>
        <w:gridCol w:w="894"/>
        <w:gridCol w:w="1088"/>
        <w:gridCol w:w="1670"/>
      </w:tblGrid>
      <w:tr>
        <w:tblPrEx>
          <w:shd w:val="clear" w:color="auto" w:fill="auto"/>
          <w:tblCellMar>
            <w:top w:w="0" w:type="dxa"/>
            <w:left w:w="0" w:type="dxa"/>
            <w:bottom w:w="0" w:type="dxa"/>
            <w:right w:w="0" w:type="dxa"/>
          </w:tblCellMar>
        </w:tblPrEx>
        <w:trPr>
          <w:trHeight w:val="390" w:hRule="atLeast"/>
        </w:trPr>
        <w:tc>
          <w:tcPr>
            <w:tcW w:w="15428" w:type="dxa"/>
            <w:gridSpan w:val="11"/>
            <w:tcBorders>
              <w:top w:val="nil"/>
              <w:left w:val="nil"/>
              <w:bottom w:val="nil"/>
              <w:right w:val="nil"/>
            </w:tcBorders>
            <w:shd w:val="clear" w:color="auto" w:fill="auto"/>
            <w:noWrap/>
            <w:tcMar>
              <w:top w:w="15" w:type="dxa"/>
              <w:left w:w="15" w:type="dxa"/>
              <w:right w:w="15" w:type="dxa"/>
            </w:tcMar>
            <w:vAlign w:val="bottom"/>
          </w:tcPr>
          <w:p>
            <w:pPr>
              <w:ind w:firstLine="6900" w:firstLineChars="23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31"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40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217"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57"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3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8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718"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18"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18"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0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1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82"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其他应用研究支出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产业技术研究与开发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科技成果转化与扩散</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4645" w:type="dxa"/>
        <w:tblInd w:w="0" w:type="dxa"/>
        <w:shd w:val="clear" w:color="auto" w:fill="auto"/>
        <w:tblLayout w:type="autofit"/>
        <w:tblCellMar>
          <w:top w:w="0" w:type="dxa"/>
          <w:left w:w="0" w:type="dxa"/>
          <w:bottom w:w="0" w:type="dxa"/>
          <w:right w:w="0" w:type="dxa"/>
        </w:tblCellMar>
      </w:tblPr>
      <w:tblGrid>
        <w:gridCol w:w="2609"/>
        <w:gridCol w:w="42"/>
        <w:gridCol w:w="42"/>
        <w:gridCol w:w="4410"/>
        <w:gridCol w:w="1317"/>
        <w:gridCol w:w="1267"/>
        <w:gridCol w:w="1291"/>
        <w:gridCol w:w="1084"/>
        <w:gridCol w:w="909"/>
        <w:gridCol w:w="1674"/>
      </w:tblGrid>
      <w:tr>
        <w:tblPrEx>
          <w:shd w:val="clear" w:color="auto" w:fill="auto"/>
          <w:tblCellMar>
            <w:top w:w="0" w:type="dxa"/>
            <w:left w:w="0" w:type="dxa"/>
            <w:bottom w:w="0" w:type="dxa"/>
            <w:right w:w="0" w:type="dxa"/>
          </w:tblCellMar>
        </w:tblPrEx>
        <w:trPr>
          <w:trHeight w:val="390" w:hRule="atLeast"/>
        </w:trPr>
        <w:tc>
          <w:tcPr>
            <w:tcW w:w="14645" w:type="dxa"/>
            <w:gridSpan w:val="10"/>
            <w:tcBorders>
              <w:top w:val="nil"/>
              <w:left w:val="nil"/>
              <w:bottom w:val="nil"/>
              <w:right w:val="nil"/>
            </w:tcBorders>
            <w:shd w:val="clear" w:color="auto" w:fill="auto"/>
            <w:noWrap/>
            <w:tcMar>
              <w:top w:w="15" w:type="dxa"/>
              <w:left w:w="15" w:type="dxa"/>
              <w:right w:w="15" w:type="dxa"/>
            </w:tcMar>
            <w:vAlign w:val="bottom"/>
          </w:tcPr>
          <w:p>
            <w:pPr>
              <w:ind w:firstLine="6600" w:firstLineChars="22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47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8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8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3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3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8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426.26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4,083.00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4,083.00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其他应用研究支出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产业技术研究与开发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科技成果转化与扩散</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2725" w:type="dxa"/>
        <w:tblInd w:w="0" w:type="dxa"/>
        <w:shd w:val="clear" w:color="auto" w:fill="auto"/>
        <w:tblLayout w:type="autofit"/>
        <w:tblCellMar>
          <w:top w:w="0" w:type="dxa"/>
          <w:left w:w="0" w:type="dxa"/>
          <w:bottom w:w="0" w:type="dxa"/>
          <w:right w:w="0" w:type="dxa"/>
        </w:tblCellMar>
      </w:tblPr>
      <w:tblGrid>
        <w:gridCol w:w="3243"/>
        <w:gridCol w:w="446"/>
        <w:gridCol w:w="1245"/>
        <w:gridCol w:w="3621"/>
        <w:gridCol w:w="446"/>
        <w:gridCol w:w="989"/>
        <w:gridCol w:w="1180"/>
        <w:gridCol w:w="1555"/>
      </w:tblGrid>
      <w:tr>
        <w:tblPrEx>
          <w:shd w:val="clear" w:color="auto" w:fill="auto"/>
          <w:tblCellMar>
            <w:top w:w="0" w:type="dxa"/>
            <w:left w:w="0" w:type="dxa"/>
            <w:bottom w:w="0" w:type="dxa"/>
            <w:right w:w="0" w:type="dxa"/>
          </w:tblCellMar>
        </w:tblPrEx>
        <w:trPr>
          <w:trHeight w:val="390" w:hRule="atLeast"/>
        </w:trPr>
        <w:tc>
          <w:tcPr>
            <w:tcW w:w="12725" w:type="dxa"/>
            <w:gridSpan w:val="8"/>
            <w:tcBorders>
              <w:top w:val="nil"/>
              <w:left w:val="nil"/>
              <w:bottom w:val="nil"/>
              <w:right w:val="nil"/>
            </w:tcBorders>
            <w:shd w:val="clear" w:color="auto" w:fill="auto"/>
            <w:noWrap/>
            <w:tcMar>
              <w:top w:w="15" w:type="dxa"/>
              <w:left w:w="15" w:type="dxa"/>
              <w:right w:w="15" w:type="dxa"/>
            </w:tcMar>
            <w:vAlign w:val="bottom"/>
          </w:tcPr>
          <w:p>
            <w:pPr>
              <w:ind w:firstLine="5100" w:firstLineChars="17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075"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075"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2725" w:type="dxa"/>
            <w:gridSpan w:val="8"/>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3570" w:type="dxa"/>
        <w:tblInd w:w="0" w:type="dxa"/>
        <w:shd w:val="clear" w:color="auto" w:fill="auto"/>
        <w:tblLayout w:type="autofit"/>
        <w:tblCellMar>
          <w:top w:w="0" w:type="dxa"/>
          <w:left w:w="0" w:type="dxa"/>
          <w:bottom w:w="0" w:type="dxa"/>
          <w:right w:w="0" w:type="dxa"/>
        </w:tblCellMar>
      </w:tblPr>
      <w:tblGrid>
        <w:gridCol w:w="2759"/>
        <w:gridCol w:w="45"/>
        <w:gridCol w:w="45"/>
        <w:gridCol w:w="4664"/>
        <w:gridCol w:w="1960"/>
        <w:gridCol w:w="1822"/>
        <w:gridCol w:w="2275"/>
      </w:tblGrid>
      <w:tr>
        <w:tblPrEx>
          <w:shd w:val="clear" w:color="auto" w:fill="auto"/>
          <w:tblCellMar>
            <w:top w:w="0" w:type="dxa"/>
            <w:left w:w="0" w:type="dxa"/>
            <w:bottom w:w="0" w:type="dxa"/>
            <w:right w:w="0" w:type="dxa"/>
          </w:tblCellMar>
        </w:tblPrEx>
        <w:trPr>
          <w:trHeight w:val="390" w:hRule="atLeast"/>
        </w:trPr>
        <w:tc>
          <w:tcPr>
            <w:tcW w:w="13570" w:type="dxa"/>
            <w:gridSpan w:val="7"/>
            <w:tcBorders>
              <w:top w:val="nil"/>
              <w:left w:val="nil"/>
              <w:bottom w:val="nil"/>
              <w:right w:val="nil"/>
            </w:tcBorders>
            <w:shd w:val="clear" w:color="auto" w:fill="auto"/>
            <w:noWrap/>
            <w:tcMar>
              <w:top w:w="15" w:type="dxa"/>
              <w:left w:w="15" w:type="dxa"/>
              <w:right w:w="15" w:type="dxa"/>
            </w:tcMar>
            <w:vAlign w:val="bottom"/>
          </w:tcPr>
          <w:p>
            <w:pPr>
              <w:ind w:firstLine="600" w:firstLineChars="200"/>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4,509.26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426.26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4,083.00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4,083.00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其他应用研究支出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4,013.00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产业技术研究与开发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科技成果转化与扩散</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3,453.00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5428" w:type="dxa"/>
        <w:tblInd w:w="0" w:type="dxa"/>
        <w:shd w:val="clear" w:color="auto" w:fill="auto"/>
        <w:tblLayout w:type="fixed"/>
        <w:tblCellMar>
          <w:top w:w="0" w:type="dxa"/>
          <w:left w:w="0" w:type="dxa"/>
          <w:bottom w:w="0" w:type="dxa"/>
          <w:right w:w="0" w:type="dxa"/>
        </w:tblCellMar>
      </w:tblPr>
      <w:tblGrid>
        <w:gridCol w:w="2191"/>
        <w:gridCol w:w="3086"/>
        <w:gridCol w:w="846"/>
        <w:gridCol w:w="637"/>
        <w:gridCol w:w="1981"/>
        <w:gridCol w:w="713"/>
        <w:gridCol w:w="623"/>
        <w:gridCol w:w="4083"/>
        <w:gridCol w:w="1268"/>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ind w:firstLine="300" w:firstLineChars="100"/>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2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219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30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2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6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612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05"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191"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8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3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98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1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2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08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6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191"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8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311.91</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20.34</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3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98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71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277"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8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332.26</w:t>
            </w:r>
          </w:p>
        </w:tc>
        <w:tc>
          <w:tcPr>
            <w:tcW w:w="8037"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6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94.00</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3510" w:type="dxa"/>
        <w:tblInd w:w="0" w:type="dxa"/>
        <w:shd w:val="clear" w:color="auto" w:fill="auto"/>
        <w:tblLayout w:type="autofit"/>
        <w:tblCellMar>
          <w:top w:w="0" w:type="dxa"/>
          <w:left w:w="0" w:type="dxa"/>
          <w:bottom w:w="0" w:type="dxa"/>
          <w:right w:w="0" w:type="dxa"/>
        </w:tblCellMar>
      </w:tblPr>
      <w:tblGrid>
        <w:gridCol w:w="2230"/>
        <w:gridCol w:w="975"/>
        <w:gridCol w:w="660"/>
        <w:gridCol w:w="1170"/>
        <w:gridCol w:w="1155"/>
        <w:gridCol w:w="910"/>
        <w:gridCol w:w="810"/>
        <w:gridCol w:w="1185"/>
        <w:gridCol w:w="855"/>
        <w:gridCol w:w="1095"/>
        <w:gridCol w:w="1035"/>
        <w:gridCol w:w="1430"/>
      </w:tblGrid>
      <w:tr>
        <w:tblPrEx>
          <w:shd w:val="clear" w:color="auto" w:fill="auto"/>
          <w:tblCellMar>
            <w:top w:w="0" w:type="dxa"/>
            <w:left w:w="0" w:type="dxa"/>
            <w:bottom w:w="0" w:type="dxa"/>
            <w:right w:w="0" w:type="dxa"/>
          </w:tblCellMar>
        </w:tblPrEx>
        <w:trPr>
          <w:trHeight w:val="540" w:hRule="atLeast"/>
        </w:trPr>
        <w:tc>
          <w:tcPr>
            <w:tcW w:w="13510"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33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100" w:type="dxa"/>
            <w:gridSpan w:val="6"/>
            <w:tcBorders>
              <w:top w:val="single" w:color="000000" w:sz="4" w:space="0"/>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410" w:type="dxa"/>
            <w:gridSpan w:val="6"/>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230" w:type="dxa"/>
            <w:vMerge w:val="restar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1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1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85" w:type="dxa"/>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2230" w:type="dxa"/>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1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9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3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8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5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9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3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351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1670" w:type="dxa"/>
        <w:tblInd w:w="0" w:type="dxa"/>
        <w:shd w:val="clear" w:color="auto" w:fill="auto"/>
        <w:tblLayout w:type="autofit"/>
        <w:tblCellMar>
          <w:top w:w="0" w:type="dxa"/>
          <w:left w:w="0" w:type="dxa"/>
          <w:bottom w:w="0" w:type="dxa"/>
          <w:right w:w="0" w:type="dxa"/>
        </w:tblCellMar>
      </w:tblPr>
      <w:tblGrid>
        <w:gridCol w:w="3245"/>
        <w:gridCol w:w="52"/>
        <w:gridCol w:w="52"/>
        <w:gridCol w:w="1324"/>
        <w:gridCol w:w="1164"/>
        <w:gridCol w:w="924"/>
        <w:gridCol w:w="880"/>
        <w:gridCol w:w="1077"/>
        <w:gridCol w:w="870"/>
        <w:gridCol w:w="2082"/>
      </w:tblGrid>
      <w:tr>
        <w:tblPrEx>
          <w:shd w:val="clear" w:color="auto" w:fill="auto"/>
          <w:tblCellMar>
            <w:top w:w="0" w:type="dxa"/>
            <w:left w:w="0" w:type="dxa"/>
            <w:bottom w:w="0" w:type="dxa"/>
            <w:right w:w="0" w:type="dxa"/>
          </w:tblCellMar>
        </w:tblPrEx>
        <w:trPr>
          <w:trHeight w:val="390" w:hRule="atLeast"/>
        </w:trPr>
        <w:tc>
          <w:tcPr>
            <w:tcW w:w="11670"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32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32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部门：濮阳县科学技术局</w:t>
            </w:r>
          </w:p>
        </w:tc>
        <w:tc>
          <w:tcPr>
            <w:tcW w:w="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0" w:hRule="atLeast"/>
        </w:trPr>
        <w:tc>
          <w:tcPr>
            <w:tcW w:w="4673"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64"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24"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27"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8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3349"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4"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4"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4"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673"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4673"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4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67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color w:val="auto"/>
          <w:sz w:val="32"/>
          <w:szCs w:val="32"/>
          <w:highlight w:val="none"/>
        </w:rPr>
      </w:pPr>
    </w:p>
    <w:p>
      <w:pPr>
        <w:tabs>
          <w:tab w:val="left" w:pos="5433"/>
        </w:tabs>
        <w:jc w:val="both"/>
        <w:rPr>
          <w:rFonts w:hint="eastAsia" w:ascii="仿宋_GB2312" w:hAnsi="仿宋_GB2312" w:eastAsia="仿宋_GB2312" w:cs="仿宋_GB2312"/>
          <w:color w:val="auto"/>
          <w:sz w:val="32"/>
          <w:szCs w:val="32"/>
          <w:highlight w:val="none"/>
          <w:lang w:eastAsia="zh-CN"/>
        </w:rPr>
      </w:pPr>
    </w:p>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2019年度收、支总计均为4509.26万元。与上年度相比，收、支总计各增加581.81万元，增长14.81%。主要原因是人员增资，社保缴费基数增加、专项活动经费增加。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2019年度收入合计4509.26万元，其中：财政拨款收入4509.26万元，占100%。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2019年度支出合计4509.26万元，其中：基本支出426.26万元，占9.45%；项目支出4083万元，占90.55%。</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2019年度财政拨款收、支总计均为4509.26万元。与上年度相比，财政拨款收、支总计各增加581.81万元，增长14.81%。主要原因是人员增资和技术研究与开发。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2019年度一般公共预算财政拨款支出4509.26万元，占本年支出合计的100%。与上年度相比，一般公共预算财政拨款支出增加581.81万元，增长14.81%。主要原因是人员增资，社保缴费基数增加、专项活动经费增加。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2019年度一般公共预算财政拨款支出4509.26万元，主要用于以下方面：一般公共服务（类）支出4451万元，占98.7%；社会保障和就业支出47.34万元，占1.06%；医疗卫生与计划生育支出10.91万元，占0.24%。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2019年度一般公共预算财政拨款支出年初预算为4509.26万元，支出决算为4509.26万元，完成年初预算的100%。其中：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科学技术支出（类）科学技术管理事务（款）行政运行（项）</w:t>
      </w:r>
      <w:r>
        <w:rPr>
          <w:rFonts w:hint="eastAsia" w:ascii="仿宋_GB2312" w:hAnsi="仿宋_GB2312" w:eastAsia="仿宋_GB2312" w:cs="仿宋_GB2312"/>
          <w:b w:val="0"/>
          <w:bCs w:val="0"/>
          <w:color w:val="auto"/>
          <w:sz w:val="32"/>
          <w:szCs w:val="32"/>
          <w:highlight w:val="none"/>
          <w:lang w:val="en-US" w:eastAsia="zh-CN"/>
        </w:rPr>
        <w:t>年初预算为304万元，支出决算为 304万元，完成年初预算的100%。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科学技术支出（类）科学技术管理事务（款）其他科学技术管理事务支出（项）</w:t>
      </w:r>
      <w:r>
        <w:rPr>
          <w:rFonts w:hint="eastAsia" w:ascii="仿宋_GB2312" w:hAnsi="仿宋_GB2312" w:eastAsia="仿宋_GB2312" w:cs="仿宋_GB2312"/>
          <w:b w:val="0"/>
          <w:bCs w:val="0"/>
          <w:color w:val="auto"/>
          <w:sz w:val="32"/>
          <w:szCs w:val="32"/>
          <w:highlight w:val="none"/>
          <w:lang w:val="en-US" w:eastAsia="zh-CN"/>
        </w:rPr>
        <w:t>年初预算为14万元，支出决算为 14万元，完成年初预算的100%。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科学技术支出（类）应用研究（款）社会公益研究（项）</w:t>
      </w:r>
      <w:r>
        <w:rPr>
          <w:rFonts w:hint="eastAsia" w:ascii="仿宋_GB2312" w:hAnsi="仿宋_GB2312" w:eastAsia="仿宋_GB2312" w:cs="仿宋_GB2312"/>
          <w:b w:val="0"/>
          <w:bCs w:val="0"/>
          <w:color w:val="auto"/>
          <w:sz w:val="32"/>
          <w:szCs w:val="32"/>
          <w:highlight w:val="none"/>
          <w:lang w:val="en-US" w:eastAsia="zh-CN"/>
        </w:rPr>
        <w:t>年初预算为70万元，支出决算为 70万元，完成年初预算的100%。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科学技术支出（类）应用研究（款）其他应用研究支出（项）</w:t>
      </w:r>
      <w:r>
        <w:rPr>
          <w:rFonts w:hint="eastAsia" w:ascii="仿宋_GB2312" w:hAnsi="仿宋_GB2312" w:eastAsia="仿宋_GB2312" w:cs="仿宋_GB2312"/>
          <w:b w:val="0"/>
          <w:bCs w:val="0"/>
          <w:color w:val="auto"/>
          <w:sz w:val="32"/>
          <w:szCs w:val="32"/>
          <w:highlight w:val="none"/>
          <w:lang w:val="en-US" w:eastAsia="zh-CN"/>
        </w:rPr>
        <w:t>年初预算为50万元，支出决算为 50万元，完成年初预算的100%。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科学技术支出（类）技术研究与开发（款）产业技术研究与开发（项）</w:t>
      </w:r>
      <w:r>
        <w:rPr>
          <w:rFonts w:hint="eastAsia" w:ascii="仿宋_GB2312" w:hAnsi="仿宋_GB2312" w:eastAsia="仿宋_GB2312" w:cs="仿宋_GB2312"/>
          <w:b w:val="0"/>
          <w:bCs w:val="0"/>
          <w:color w:val="auto"/>
          <w:sz w:val="32"/>
          <w:szCs w:val="32"/>
          <w:highlight w:val="none"/>
          <w:lang w:val="en-US" w:eastAsia="zh-CN"/>
        </w:rPr>
        <w:t>年初预算为542万元，支出决算为 542万元，完成年初预算的100%。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科学技术支出（类）技术研究与开发（款）科技成果转化与扩散（项）</w:t>
      </w:r>
      <w:r>
        <w:rPr>
          <w:rFonts w:hint="eastAsia" w:ascii="仿宋_GB2312" w:hAnsi="仿宋_GB2312" w:eastAsia="仿宋_GB2312" w:cs="仿宋_GB2312"/>
          <w:b w:val="0"/>
          <w:bCs w:val="0"/>
          <w:color w:val="auto"/>
          <w:sz w:val="32"/>
          <w:szCs w:val="32"/>
          <w:highlight w:val="none"/>
          <w:lang w:val="en-US" w:eastAsia="zh-CN"/>
        </w:rPr>
        <w:t>年初预算为3453万元，支出决算为 3453万元，完成年初预算的100%。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科学技术支出（类）技术研究与开发（款）其他技术研究与开发支出（项）</w:t>
      </w:r>
      <w:r>
        <w:rPr>
          <w:rFonts w:hint="eastAsia" w:ascii="仿宋_GB2312" w:hAnsi="仿宋_GB2312" w:eastAsia="仿宋_GB2312" w:cs="仿宋_GB2312"/>
          <w:b w:val="0"/>
          <w:bCs w:val="0"/>
          <w:color w:val="auto"/>
          <w:sz w:val="32"/>
          <w:szCs w:val="32"/>
          <w:highlight w:val="none"/>
          <w:lang w:val="en-US" w:eastAsia="zh-CN"/>
        </w:rPr>
        <w:t>年初预算为18万元，支出决算为 18万元，完成年初预算的100%。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 27 万元，支出决算数为27万元，完成年初预算的 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 其他行政事业单位离退休支出（项）。</w:t>
      </w:r>
      <w:r>
        <w:rPr>
          <w:rFonts w:hint="eastAsia" w:ascii="仿宋_GB2312" w:hAnsi="仿宋_GB2312" w:eastAsia="仿宋_GB2312" w:cs="仿宋_GB2312"/>
          <w:b w:val="0"/>
          <w:bCs w:val="0"/>
          <w:color w:val="auto"/>
          <w:sz w:val="32"/>
          <w:szCs w:val="32"/>
          <w:highlight w:val="none"/>
          <w:lang w:val="en-US" w:eastAsia="zh-CN"/>
        </w:rPr>
        <w:t>年初预算数为 15.52 万元，支出决算数为15.52万元，完成年初预算的 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b w:val="0"/>
          <w:bCs w:val="0"/>
          <w:color w:val="auto"/>
          <w:sz w:val="32"/>
          <w:szCs w:val="32"/>
          <w:highlight w:val="none"/>
          <w:lang w:val="en-US" w:eastAsia="zh-CN"/>
        </w:rPr>
        <w:t>年初预算数为 4.82 万元，支出决算数为4.82万元，完成年初预算的 100%。</w:t>
      </w:r>
    </w:p>
    <w:p>
      <w:pPr>
        <w:keepNext w:val="0"/>
        <w:keepLines w:val="0"/>
        <w:pageBreakBefore w:val="0"/>
        <w:widowControl/>
        <w:numPr>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年初预算数为 1.77 万元，支出决算数为1.77万元，完成年初预算的 100%。</w:t>
      </w:r>
    </w:p>
    <w:p>
      <w:pPr>
        <w:keepNext w:val="0"/>
        <w:keepLines w:val="0"/>
        <w:pageBreakBefore w:val="0"/>
        <w:widowControl/>
        <w:numPr>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12.卫生健康支出（类）行政事业单位医疗（款） 事业单位医疗（项）。</w:t>
      </w:r>
      <w:r>
        <w:rPr>
          <w:rFonts w:hint="eastAsia" w:ascii="仿宋_GB2312" w:hAnsi="仿宋_GB2312" w:eastAsia="仿宋_GB2312" w:cs="仿宋_GB2312"/>
          <w:b w:val="0"/>
          <w:bCs w:val="0"/>
          <w:color w:val="auto"/>
          <w:sz w:val="32"/>
          <w:szCs w:val="32"/>
          <w:highlight w:val="none"/>
          <w:lang w:val="en-US" w:eastAsia="zh-CN"/>
        </w:rPr>
        <w:t>年初预算数为 9.15万元，支出决算数为9.15万元，完成年初预算的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2019年度一般公共预算财政拨款基本支出3927.45万元,与上年度相比，一般公共预算财政拨款基本支出增加581.81万元，增长14.81%。主要原因是人员增资，社保缴费基数增加，专项活动经费增加。其中：</w:t>
      </w:r>
      <w:r>
        <w:rPr>
          <w:rFonts w:hint="eastAsia" w:ascii="仿宋_GB2312" w:hAnsi="仿宋_GB2312" w:eastAsia="仿宋_GB2312" w:cs="仿宋_GB2312"/>
          <w:b w:val="0"/>
          <w:bCs w:val="0"/>
          <w:color w:val="auto"/>
          <w:sz w:val="32"/>
          <w:szCs w:val="32"/>
          <w:highlight w:val="none"/>
          <w:lang w:val="en-US" w:eastAsia="zh-CN"/>
        </w:rPr>
        <w:t>人员经费332.26万元，主要包括：基本工资、津贴补贴、绩效工资、机关事业单位基本养老保险缴费、其他社会保障缴费、抚恤金、生活补助、其他对个人和家庭的补助</w:t>
      </w:r>
      <w:r>
        <w:rPr>
          <w:rFonts w:hint="eastAsia" w:ascii="仿宋_GB2312" w:hAnsi="仿宋_GB2312" w:eastAsia="仿宋_GB2312" w:cs="仿宋_GB2312"/>
          <w:color w:val="auto"/>
          <w:sz w:val="32"/>
          <w:szCs w:val="32"/>
          <w:highlight w:val="none"/>
          <w:lang w:val="en-US" w:eastAsia="zh-CN"/>
        </w:rPr>
        <w:t>；公用经费94万元，主要包括：印刷费、印刷费、水费、电费、邮电费、物业管理费、差旅费、维修(护）费、公务用车运行维护费等。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2019年度“三公”经费财政拨款支出预算为1万元，支出决算为1万元，完成预算的100%。。</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2019年度“三公”经费财政拨款支出决算中，因公出国（境）费支出决算0万元，完成预算的0%；公务用车购置及运行费支出决算1万元，完成预算的100%；公务接待费支出决算0万元，完成预算的0%，占0%。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初预算为1万元，支出决算为1万元，完成年初预算的100%。其中：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1万元。2019年期末，部门开支财政拨款的公务用车保有量为1辆。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根据财政预算管理要求，共青团濮阳县委加强在资金使用过程中管理，对2019年度一般公共预算项目支出全面开展绩效自评。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团县委充分认识项目绩效自评的重要性，自评覆盖率达 到 100%，所有项目基本达到预期目标，群众满意度高。九、政府性基金预算财政拨款支出决算情况说明</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 w:hAnsi="仿宋" w:eastAsia="仿宋" w:cs="仿宋"/>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w:t>
      </w:r>
      <w:r>
        <w:rPr>
          <w:rFonts w:hint="eastAsia" w:ascii="仿宋_GB2312" w:hAnsi="仿宋_GB2312" w:eastAsia="仿宋_GB2312" w:cs="仿宋_GB2312"/>
          <w:b w:val="0"/>
          <w:bCs w:val="0"/>
          <w:color w:val="auto"/>
          <w:sz w:val="32"/>
          <w:szCs w:val="32"/>
          <w:highlight w:val="none"/>
          <w:lang w:val="en-US" w:eastAsia="zh-CN"/>
        </w:rPr>
        <w:t xml:space="preserve"> 3855</w:t>
      </w:r>
      <w:r>
        <w:rPr>
          <w:rFonts w:hint="eastAsia"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s="仿宋_GB2312"/>
          <w:b w:val="0"/>
          <w:bCs w:val="0"/>
          <w:color w:val="auto"/>
          <w:sz w:val="32"/>
          <w:szCs w:val="32"/>
          <w:highlight w:val="none"/>
          <w:lang w:val="en-US" w:eastAsia="zh-CN"/>
        </w:rPr>
        <w:t>4451</w:t>
      </w:r>
      <w:r>
        <w:rPr>
          <w:rFonts w:hint="eastAsia"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s="仿宋_GB2312"/>
          <w:b w:val="0"/>
          <w:bCs w:val="0"/>
          <w:color w:val="auto"/>
          <w:sz w:val="32"/>
          <w:szCs w:val="32"/>
          <w:highlight w:val="none"/>
          <w:lang w:val="en-US" w:eastAsia="zh-CN"/>
        </w:rPr>
        <w:t>115.46</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%。决算数与年初预算数存在差异的主要原因是人员增资。2019年机关运行经费支出4454万元，增加581.81万元，增长14.81%，主要原因是人员增资，缴费基数增加。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728B2F21"/>
    <w:multiLevelType w:val="singleLevel"/>
    <w:tmpl w:val="728B2F21"/>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4F30906"/>
    <w:rsid w:val="06546E42"/>
    <w:rsid w:val="0860124F"/>
    <w:rsid w:val="08681CF2"/>
    <w:rsid w:val="086A038E"/>
    <w:rsid w:val="08B63F18"/>
    <w:rsid w:val="0A1C59C2"/>
    <w:rsid w:val="0BA304CD"/>
    <w:rsid w:val="0D9062E7"/>
    <w:rsid w:val="0F5B5016"/>
    <w:rsid w:val="113553F9"/>
    <w:rsid w:val="121660B2"/>
    <w:rsid w:val="12F81E26"/>
    <w:rsid w:val="13930662"/>
    <w:rsid w:val="14CF56C6"/>
    <w:rsid w:val="15905ECD"/>
    <w:rsid w:val="15D553FA"/>
    <w:rsid w:val="185C67B7"/>
    <w:rsid w:val="19583BBC"/>
    <w:rsid w:val="1ABC1BA9"/>
    <w:rsid w:val="1AE87BAB"/>
    <w:rsid w:val="1C5C5DAD"/>
    <w:rsid w:val="1C8B54C8"/>
    <w:rsid w:val="1F2729EF"/>
    <w:rsid w:val="1F811484"/>
    <w:rsid w:val="200214FD"/>
    <w:rsid w:val="22C56236"/>
    <w:rsid w:val="22E1624D"/>
    <w:rsid w:val="23B96396"/>
    <w:rsid w:val="24AE1FE1"/>
    <w:rsid w:val="25791738"/>
    <w:rsid w:val="264F5CCF"/>
    <w:rsid w:val="26FB3DD6"/>
    <w:rsid w:val="2747774D"/>
    <w:rsid w:val="28760775"/>
    <w:rsid w:val="2CD7012E"/>
    <w:rsid w:val="2E642840"/>
    <w:rsid w:val="2E7E72B8"/>
    <w:rsid w:val="2F0960A0"/>
    <w:rsid w:val="2F124E7D"/>
    <w:rsid w:val="2FD3060D"/>
    <w:rsid w:val="306F761E"/>
    <w:rsid w:val="31EE2784"/>
    <w:rsid w:val="32F50D50"/>
    <w:rsid w:val="33C7781A"/>
    <w:rsid w:val="34454543"/>
    <w:rsid w:val="3548279B"/>
    <w:rsid w:val="35584D12"/>
    <w:rsid w:val="35D4063A"/>
    <w:rsid w:val="36470462"/>
    <w:rsid w:val="37C04CE4"/>
    <w:rsid w:val="387927B5"/>
    <w:rsid w:val="387E692F"/>
    <w:rsid w:val="388F5531"/>
    <w:rsid w:val="39AB3D2C"/>
    <w:rsid w:val="3AE00B7B"/>
    <w:rsid w:val="3B960928"/>
    <w:rsid w:val="3BEC6F12"/>
    <w:rsid w:val="3E396404"/>
    <w:rsid w:val="3E8A5D1C"/>
    <w:rsid w:val="3E8C7681"/>
    <w:rsid w:val="3ECC5C74"/>
    <w:rsid w:val="3F527C5A"/>
    <w:rsid w:val="3F787936"/>
    <w:rsid w:val="48056DC3"/>
    <w:rsid w:val="4D3D47C6"/>
    <w:rsid w:val="4E5047BD"/>
    <w:rsid w:val="4F702056"/>
    <w:rsid w:val="4FC10099"/>
    <w:rsid w:val="50C8334B"/>
    <w:rsid w:val="51DF65E4"/>
    <w:rsid w:val="52F90CF7"/>
    <w:rsid w:val="53624122"/>
    <w:rsid w:val="536A1A37"/>
    <w:rsid w:val="56E244BA"/>
    <w:rsid w:val="579575E7"/>
    <w:rsid w:val="57FA41F0"/>
    <w:rsid w:val="58A91CC0"/>
    <w:rsid w:val="591B6101"/>
    <w:rsid w:val="5965689A"/>
    <w:rsid w:val="5B556051"/>
    <w:rsid w:val="5BBF33CD"/>
    <w:rsid w:val="5BC20422"/>
    <w:rsid w:val="5BF74922"/>
    <w:rsid w:val="5D914E11"/>
    <w:rsid w:val="5DBC053A"/>
    <w:rsid w:val="5E962EC4"/>
    <w:rsid w:val="5F0622F0"/>
    <w:rsid w:val="5F152507"/>
    <w:rsid w:val="5F973B50"/>
    <w:rsid w:val="606D3F2E"/>
    <w:rsid w:val="611C16D8"/>
    <w:rsid w:val="61C876C4"/>
    <w:rsid w:val="62F30C33"/>
    <w:rsid w:val="63056908"/>
    <w:rsid w:val="63714A1E"/>
    <w:rsid w:val="66132327"/>
    <w:rsid w:val="667B4EB5"/>
    <w:rsid w:val="6B227233"/>
    <w:rsid w:val="6B98245D"/>
    <w:rsid w:val="6D101368"/>
    <w:rsid w:val="6E2D0B6D"/>
    <w:rsid w:val="6EC45882"/>
    <w:rsid w:val="6F4F642F"/>
    <w:rsid w:val="6F640286"/>
    <w:rsid w:val="6F6A4E5B"/>
    <w:rsid w:val="6F8D334D"/>
    <w:rsid w:val="71C52037"/>
    <w:rsid w:val="72567CE5"/>
    <w:rsid w:val="747475CC"/>
    <w:rsid w:val="74820748"/>
    <w:rsid w:val="74F95154"/>
    <w:rsid w:val="75265254"/>
    <w:rsid w:val="76D00BB0"/>
    <w:rsid w:val="77905432"/>
    <w:rsid w:val="784F38A1"/>
    <w:rsid w:val="78C018EE"/>
    <w:rsid w:val="78C12B76"/>
    <w:rsid w:val="78E64AB9"/>
    <w:rsid w:val="791F0392"/>
    <w:rsid w:val="7BA6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3</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2020-11-19T08:40:55Z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