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spacing w:line="239" w:lineRule="auto"/>
        <w:ind w:firstLine="2080" w:firstLineChars="400"/>
        <w:jc w:val="both"/>
        <w:rPr>
          <w:rFonts w:hint="eastAsia" w:ascii="黑体" w:hAnsi="黑体" w:eastAsia="黑体" w:cs="黑体"/>
          <w:b w:val="0"/>
          <w:bCs w:val="0"/>
          <w:sz w:val="52"/>
          <w:szCs w:val="52"/>
          <w:lang w:eastAsia="zh-CN"/>
        </w:rPr>
      </w:pPr>
      <w:r>
        <w:rPr>
          <w:rFonts w:hint="eastAsia" w:ascii="黑体" w:hAnsi="黑体" w:eastAsia="黑体" w:cs="黑体"/>
          <w:b w:val="0"/>
          <w:bCs w:val="0"/>
          <w:sz w:val="52"/>
          <w:szCs w:val="52"/>
        </w:rPr>
        <w:t>濮阳县</w:t>
      </w:r>
      <w:r>
        <w:rPr>
          <w:rFonts w:hint="eastAsia" w:ascii="黑体" w:hAnsi="黑体" w:eastAsia="黑体" w:cs="黑体"/>
          <w:b w:val="0"/>
          <w:bCs w:val="0"/>
          <w:sz w:val="52"/>
          <w:szCs w:val="52"/>
          <w:lang w:eastAsia="zh-CN"/>
        </w:rPr>
        <w:t>住建局</w:t>
      </w:r>
    </w:p>
    <w:p>
      <w:pPr>
        <w:spacing w:line="200" w:lineRule="exact"/>
        <w:jc w:val="center"/>
        <w:rPr>
          <w:rFonts w:hint="eastAsia" w:ascii="黑体" w:hAnsi="黑体" w:eastAsia="黑体" w:cs="黑体"/>
          <w:b w:val="0"/>
          <w:bCs w:val="0"/>
          <w:sz w:val="52"/>
          <w:szCs w:val="52"/>
        </w:rPr>
      </w:pPr>
    </w:p>
    <w:p>
      <w:pPr>
        <w:spacing w:line="0" w:lineRule="atLeast"/>
        <w:ind w:firstLine="1040" w:firstLineChars="200"/>
        <w:jc w:val="center"/>
        <w:rPr>
          <w:rFonts w:hint="eastAsia" w:ascii="黑体" w:hAnsi="黑体" w:eastAsia="黑体" w:cs="黑体"/>
          <w:b w:val="0"/>
          <w:bCs w:val="0"/>
          <w:sz w:val="52"/>
          <w:szCs w:val="52"/>
        </w:rPr>
      </w:pPr>
      <w:r>
        <w:rPr>
          <w:rFonts w:hint="eastAsia" w:ascii="黑体" w:hAnsi="黑体" w:eastAsia="黑体" w:cs="黑体"/>
          <w:b w:val="0"/>
          <w:bCs w:val="0"/>
          <w:sz w:val="52"/>
          <w:szCs w:val="52"/>
        </w:rPr>
        <w:t>201</w:t>
      </w:r>
      <w:r>
        <w:rPr>
          <w:rFonts w:hint="eastAsia" w:ascii="黑体" w:hAnsi="黑体" w:eastAsia="黑体" w:cs="黑体"/>
          <w:b w:val="0"/>
          <w:bCs w:val="0"/>
          <w:sz w:val="52"/>
          <w:szCs w:val="52"/>
          <w:lang w:val="en-US" w:eastAsia="zh-CN"/>
        </w:rPr>
        <w:t>9</w:t>
      </w:r>
      <w:r>
        <w:rPr>
          <w:rFonts w:hint="eastAsia" w:ascii="黑体" w:hAnsi="黑体" w:eastAsia="黑体" w:cs="黑体"/>
          <w:b w:val="0"/>
          <w:bCs w:val="0"/>
          <w:sz w:val="52"/>
          <w:szCs w:val="52"/>
        </w:rPr>
        <w:t>年度部门决算</w:t>
      </w:r>
    </w:p>
    <w:p>
      <w:pPr>
        <w:spacing w:line="0" w:lineRule="atLeast"/>
        <w:rPr>
          <w:rFonts w:ascii="微软雅黑" w:hAnsi="微软雅黑" w:eastAsia="微软雅黑"/>
          <w:sz w:val="51"/>
        </w:rPr>
      </w:pPr>
    </w:p>
    <w:p>
      <w:pPr>
        <w:jc w:val="both"/>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spacing w:line="0" w:lineRule="atLeast"/>
        <w:ind w:firstLine="2240" w:firstLineChars="700"/>
        <w:rPr>
          <w:rFonts w:hint="eastAsia" w:ascii="黑体" w:hAnsi="黑体" w:eastAsia="黑体" w:cs="黑体"/>
          <w:sz w:val="32"/>
          <w:szCs w:val="32"/>
          <w:lang w:val="en-US" w:eastAsia="zh-CN"/>
        </w:rPr>
        <w:sectPr>
          <w:pgSz w:w="11900" w:h="16838"/>
          <w:pgMar w:top="1440" w:right="2835" w:bottom="1440" w:left="2835" w:header="0" w:footer="0" w:gutter="0"/>
          <w:pgBorders>
            <w:top w:val="none" w:sz="0" w:space="0"/>
            <w:left w:val="none" w:sz="0" w:space="0"/>
            <w:bottom w:val="none" w:sz="0" w:space="0"/>
            <w:right w:val="none" w:sz="0" w:space="0"/>
          </w:pgBorders>
          <w:cols w:space="720" w:num="1"/>
          <w:docGrid w:linePitch="360" w:charSpace="0"/>
        </w:sectPr>
      </w:pP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sz w:val="32"/>
          <w:szCs w:val="32"/>
          <w:lang w:val="en-US" w:eastAsia="zh-CN"/>
        </w:rPr>
        <w:t>二</w:t>
      </w:r>
      <w:r>
        <w:rPr>
          <w:rFonts w:hint="eastAsia" w:ascii="黑体" w:hAnsi="黑体" w:eastAsia="黑体" w:cs="黑体"/>
          <w:sz w:val="32"/>
          <w:szCs w:val="32"/>
        </w:rPr>
        <w:t>〇</w:t>
      </w:r>
      <w:r>
        <w:rPr>
          <w:rFonts w:hint="eastAsia" w:ascii="黑体" w:hAnsi="黑体" w:eastAsia="黑体" w:cs="黑体"/>
          <w:sz w:val="32"/>
          <w:szCs w:val="32"/>
          <w:lang w:val="en-US" w:eastAsia="zh-CN"/>
        </w:rPr>
        <w:t>二</w:t>
      </w:r>
      <w:r>
        <w:rPr>
          <w:rFonts w:hint="eastAsia" w:ascii="黑体" w:hAnsi="黑体" w:eastAsia="黑体" w:cs="黑体"/>
          <w:sz w:val="32"/>
          <w:szCs w:val="32"/>
        </w:rPr>
        <w:t>〇</w:t>
      </w:r>
      <w:r>
        <w:rPr>
          <w:rFonts w:hint="eastAsia" w:ascii="黑体" w:hAnsi="黑体" w:eastAsia="黑体" w:cs="黑体"/>
          <w:sz w:val="32"/>
          <w:szCs w:val="32"/>
          <w:lang w:val="en-US" w:eastAsia="zh-CN"/>
        </w:rPr>
        <w:t>年九月</w:t>
      </w:r>
    </w:p>
    <w:p>
      <w:pPr>
        <w:spacing w:line="90" w:lineRule="exact"/>
        <w:rPr>
          <w:rFonts w:ascii="Times New Roman" w:hAnsi="Times New Roman" w:eastAsia="Times New Roman"/>
        </w:rPr>
      </w:pPr>
    </w:p>
    <w:p>
      <w:pPr>
        <w:tabs>
          <w:tab w:val="left" w:pos="4740"/>
        </w:tabs>
        <w:spacing w:line="0" w:lineRule="atLeast"/>
        <w:ind w:left="3680"/>
        <w:rPr>
          <w:rFonts w:ascii="黑体" w:hAnsi="黑体" w:eastAsia="黑体"/>
          <w:sz w:val="36"/>
        </w:rPr>
      </w:pPr>
      <w:r>
        <w:rPr>
          <w:rFonts w:ascii="黑体" w:hAnsi="黑体" w:eastAsia="黑体"/>
          <w:sz w:val="36"/>
        </w:rPr>
        <w:t>目</w:t>
      </w:r>
      <w:r>
        <w:rPr>
          <w:rFonts w:ascii="Times New Roman" w:hAnsi="Times New Roman" w:eastAsia="Times New Roman"/>
        </w:rPr>
        <w:tab/>
      </w:r>
      <w:r>
        <w:rPr>
          <w:rFonts w:ascii="黑体" w:hAnsi="黑体" w:eastAsia="黑体"/>
          <w:sz w:val="36"/>
        </w:rPr>
        <w:t>录</w:t>
      </w:r>
    </w:p>
    <w:p>
      <w:pPr>
        <w:spacing w:line="249" w:lineRule="exact"/>
        <w:rPr>
          <w:rFonts w:ascii="Times New Roman" w:hAnsi="Times New Roman" w:eastAsia="Times New Roman"/>
        </w:rPr>
      </w:pPr>
    </w:p>
    <w:p>
      <w:pPr>
        <w:keepNext w:val="0"/>
        <w:keepLines w:val="0"/>
        <w:pageBreakBefore w:val="0"/>
        <w:widowControl w:val="0"/>
        <w:tabs>
          <w:tab w:val="left" w:pos="1900"/>
        </w:tabs>
        <w:kinsoku/>
        <w:wordWrap/>
        <w:overflowPunct/>
        <w:topLinePunct w:val="0"/>
        <w:autoSpaceDE/>
        <w:autoSpaceDN/>
        <w:bidi w:val="0"/>
        <w:adjustRightInd/>
        <w:snapToGrid/>
        <w:spacing w:line="0" w:lineRule="atLeast"/>
        <w:ind w:firstLine="640" w:firstLineChars="200"/>
        <w:textAlignment w:val="auto"/>
        <w:rPr>
          <w:rFonts w:ascii="黑体" w:hAnsi="黑体" w:eastAsia="黑体"/>
          <w:sz w:val="32"/>
        </w:rPr>
      </w:pPr>
      <w:r>
        <w:rPr>
          <w:rFonts w:ascii="黑体" w:hAnsi="黑体" w:eastAsia="黑体"/>
          <w:sz w:val="32"/>
        </w:rPr>
        <w:t>第一部分</w:t>
      </w:r>
      <w:r>
        <w:rPr>
          <w:rFonts w:ascii="Times New Roman" w:hAnsi="Times New Roman" w:eastAsia="Times New Roman"/>
        </w:rPr>
        <w:tab/>
      </w:r>
      <w:r>
        <w:rPr>
          <w:rFonts w:ascii="黑体" w:hAnsi="黑体" w:eastAsia="黑体"/>
          <w:sz w:val="32"/>
        </w:rPr>
        <w:t>濮阳县</w:t>
      </w:r>
      <w:r>
        <w:rPr>
          <w:rFonts w:hint="eastAsia" w:ascii="黑体" w:hAnsi="黑体" w:eastAsia="黑体"/>
          <w:sz w:val="32"/>
          <w:lang w:eastAsia="zh-CN"/>
        </w:rPr>
        <w:t>住建局</w:t>
      </w:r>
      <w:r>
        <w:rPr>
          <w:rFonts w:ascii="黑体" w:hAnsi="黑体" w:eastAsia="黑体"/>
          <w:sz w:val="32"/>
        </w:rPr>
        <w:t>概况</w:t>
      </w:r>
    </w:p>
    <w:p>
      <w:pPr>
        <w:keepNext w:val="0"/>
        <w:keepLines w:val="0"/>
        <w:pageBreakBefore w:val="0"/>
        <w:widowControl w:val="0"/>
        <w:kinsoku/>
        <w:wordWrap/>
        <w:overflowPunct/>
        <w:topLinePunct w:val="0"/>
        <w:autoSpaceDE/>
        <w:autoSpaceDN/>
        <w:bidi w:val="0"/>
        <w:adjustRightInd/>
        <w:snapToGrid/>
        <w:spacing w:line="265" w:lineRule="exact"/>
        <w:ind w:firstLine="420" w:firstLineChars="200"/>
        <w:textAlignment w:val="auto"/>
        <w:rPr>
          <w:rFonts w:ascii="Times New Roman" w:hAnsi="Times New Roman" w:eastAsia="Times New Roman"/>
        </w:rPr>
      </w:pP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宋体" w:hAnsi="宋体" w:eastAsia="宋体"/>
          <w:sz w:val="32"/>
          <w:lang w:val="en-US" w:eastAsia="zh-CN"/>
        </w:rPr>
      </w:pPr>
      <w:r>
        <w:rPr>
          <w:rFonts w:ascii="宋体" w:hAnsi="宋体" w:eastAsia="宋体"/>
          <w:sz w:val="32"/>
        </w:rPr>
        <w:t>一、</w:t>
      </w:r>
      <w:r>
        <w:rPr>
          <w:rFonts w:hint="eastAsia" w:ascii="宋体" w:hAnsi="宋体" w:eastAsia="宋体"/>
          <w:sz w:val="32"/>
          <w:lang w:val="en-US" w:eastAsia="zh-CN"/>
        </w:rPr>
        <w:t>部门职责</w:t>
      </w:r>
    </w:p>
    <w:p>
      <w:pPr>
        <w:keepNext w:val="0"/>
        <w:keepLines w:val="0"/>
        <w:pageBreakBefore w:val="0"/>
        <w:widowControl w:val="0"/>
        <w:kinsoku/>
        <w:wordWrap/>
        <w:overflowPunct/>
        <w:topLinePunct w:val="0"/>
        <w:autoSpaceDE/>
        <w:autoSpaceDN/>
        <w:bidi w:val="0"/>
        <w:adjustRightInd/>
        <w:snapToGrid/>
        <w:spacing w:line="269" w:lineRule="exact"/>
        <w:ind w:firstLine="420" w:firstLineChars="200"/>
        <w:textAlignment w:val="auto"/>
        <w:rPr>
          <w:rFonts w:ascii="Times New Roman" w:hAnsi="Times New Roman" w:eastAsia="Times New Roman"/>
        </w:rPr>
      </w:pP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宋体" w:hAnsi="宋体" w:eastAsia="宋体"/>
          <w:sz w:val="32"/>
          <w:lang w:val="en-US" w:eastAsia="zh-CN"/>
        </w:rPr>
      </w:pPr>
      <w:r>
        <w:rPr>
          <w:rFonts w:ascii="宋体" w:hAnsi="宋体" w:eastAsia="宋体"/>
          <w:sz w:val="32"/>
        </w:rPr>
        <w:t>二、</w:t>
      </w:r>
      <w:r>
        <w:rPr>
          <w:rFonts w:hint="eastAsia" w:ascii="宋体" w:hAnsi="宋体" w:eastAsia="宋体"/>
          <w:sz w:val="32"/>
          <w:lang w:val="en-US" w:eastAsia="zh-CN"/>
        </w:rPr>
        <w:t>机构设置</w:t>
      </w:r>
    </w:p>
    <w:p>
      <w:pPr>
        <w:keepNext w:val="0"/>
        <w:keepLines w:val="0"/>
        <w:pageBreakBefore w:val="0"/>
        <w:widowControl w:val="0"/>
        <w:kinsoku/>
        <w:wordWrap/>
        <w:overflowPunct/>
        <w:topLinePunct w:val="0"/>
        <w:autoSpaceDE/>
        <w:autoSpaceDN/>
        <w:bidi w:val="0"/>
        <w:adjustRightInd/>
        <w:snapToGrid/>
        <w:spacing w:line="275" w:lineRule="exact"/>
        <w:ind w:firstLine="420" w:firstLineChars="200"/>
        <w:textAlignment w:val="auto"/>
        <w:rPr>
          <w:rFonts w:ascii="Times New Roman" w:hAnsi="Times New Roman" w:eastAsia="Times New Roman"/>
        </w:rPr>
      </w:pPr>
    </w:p>
    <w:p>
      <w:pPr>
        <w:keepNext w:val="0"/>
        <w:keepLines w:val="0"/>
        <w:pageBreakBefore w:val="0"/>
        <w:widowControl w:val="0"/>
        <w:tabs>
          <w:tab w:val="left" w:pos="1900"/>
        </w:tabs>
        <w:kinsoku/>
        <w:wordWrap/>
        <w:overflowPunct/>
        <w:topLinePunct w:val="0"/>
        <w:autoSpaceDE/>
        <w:autoSpaceDN/>
        <w:bidi w:val="0"/>
        <w:adjustRightInd/>
        <w:snapToGrid/>
        <w:spacing w:line="0" w:lineRule="atLeast"/>
        <w:ind w:firstLine="640" w:firstLineChars="200"/>
        <w:textAlignment w:val="auto"/>
        <w:rPr>
          <w:rFonts w:ascii="黑体" w:hAnsi="黑体" w:eastAsia="黑体"/>
          <w:sz w:val="32"/>
        </w:rPr>
      </w:pPr>
      <w:r>
        <w:rPr>
          <w:rFonts w:ascii="黑体" w:hAnsi="黑体" w:eastAsia="黑体"/>
          <w:sz w:val="32"/>
        </w:rPr>
        <w:t>第二部分</w:t>
      </w:r>
      <w:r>
        <w:rPr>
          <w:rFonts w:ascii="Times New Roman" w:hAnsi="Times New Roman" w:eastAsia="Times New Roman"/>
        </w:rPr>
        <w:tab/>
      </w:r>
      <w:r>
        <w:rPr>
          <w:rFonts w:ascii="黑体" w:hAnsi="黑体" w:eastAsia="黑体"/>
          <w:sz w:val="32"/>
        </w:rPr>
        <w:t>濮阳县</w:t>
      </w:r>
      <w:r>
        <w:rPr>
          <w:rFonts w:hint="eastAsia" w:ascii="黑体" w:hAnsi="黑体" w:eastAsia="黑体"/>
          <w:sz w:val="32"/>
          <w:lang w:eastAsia="zh-CN"/>
        </w:rPr>
        <w:t>住建局</w:t>
      </w:r>
      <w:r>
        <w:rPr>
          <w:rFonts w:ascii="黑体" w:hAnsi="黑体" w:eastAsia="黑体"/>
          <w:sz w:val="32"/>
        </w:rPr>
        <w:t xml:space="preserve"> 201</w:t>
      </w:r>
      <w:r>
        <w:rPr>
          <w:rFonts w:hint="eastAsia" w:ascii="黑体" w:hAnsi="黑体" w:eastAsia="黑体"/>
          <w:sz w:val="32"/>
          <w:lang w:val="en-US" w:eastAsia="zh-CN"/>
        </w:rPr>
        <w:t>9</w:t>
      </w:r>
      <w:r>
        <w:rPr>
          <w:rFonts w:ascii="黑体" w:hAnsi="黑体" w:eastAsia="黑体"/>
          <w:sz w:val="32"/>
        </w:rPr>
        <w:t>年度部门决算表</w:t>
      </w:r>
    </w:p>
    <w:p>
      <w:pPr>
        <w:keepNext w:val="0"/>
        <w:keepLines w:val="0"/>
        <w:pageBreakBefore w:val="0"/>
        <w:widowControl w:val="0"/>
        <w:kinsoku/>
        <w:wordWrap/>
        <w:overflowPunct/>
        <w:topLinePunct w:val="0"/>
        <w:autoSpaceDE/>
        <w:autoSpaceDN/>
        <w:bidi w:val="0"/>
        <w:adjustRightInd/>
        <w:snapToGrid/>
        <w:spacing w:line="265" w:lineRule="exact"/>
        <w:ind w:firstLine="420" w:firstLineChars="200"/>
        <w:textAlignment w:val="auto"/>
        <w:rPr>
          <w:rFonts w:ascii="Times New Roman" w:hAnsi="Times New Roman" w:eastAsia="Times New Roman"/>
        </w:rPr>
      </w:pP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宋体" w:hAnsi="宋体" w:eastAsia="宋体"/>
          <w:sz w:val="32"/>
        </w:rPr>
      </w:pPr>
      <w:r>
        <w:rPr>
          <w:rFonts w:ascii="宋体" w:hAnsi="宋体" w:eastAsia="宋体"/>
          <w:sz w:val="32"/>
        </w:rPr>
        <w:t>一、收入支出决算总表</w:t>
      </w:r>
    </w:p>
    <w:p>
      <w:pPr>
        <w:keepNext w:val="0"/>
        <w:keepLines w:val="0"/>
        <w:pageBreakBefore w:val="0"/>
        <w:widowControl w:val="0"/>
        <w:kinsoku/>
        <w:wordWrap/>
        <w:overflowPunct/>
        <w:topLinePunct w:val="0"/>
        <w:autoSpaceDE/>
        <w:autoSpaceDN/>
        <w:bidi w:val="0"/>
        <w:adjustRightInd/>
        <w:snapToGrid/>
        <w:spacing w:line="269" w:lineRule="exact"/>
        <w:ind w:firstLine="420" w:firstLineChars="200"/>
        <w:textAlignment w:val="auto"/>
        <w:rPr>
          <w:rFonts w:ascii="Times New Roman" w:hAnsi="Times New Roman" w:eastAsia="Times New Roman"/>
        </w:rPr>
      </w:pP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宋体" w:hAnsi="宋体" w:eastAsia="宋体"/>
          <w:sz w:val="32"/>
        </w:rPr>
      </w:pPr>
      <w:r>
        <w:rPr>
          <w:rFonts w:ascii="宋体" w:hAnsi="宋体" w:eastAsia="宋体"/>
          <w:sz w:val="32"/>
        </w:rPr>
        <w:t>二、收入决算表</w:t>
      </w:r>
    </w:p>
    <w:p>
      <w:pPr>
        <w:keepNext w:val="0"/>
        <w:keepLines w:val="0"/>
        <w:pageBreakBefore w:val="0"/>
        <w:widowControl w:val="0"/>
        <w:kinsoku/>
        <w:wordWrap/>
        <w:overflowPunct/>
        <w:topLinePunct w:val="0"/>
        <w:autoSpaceDE/>
        <w:autoSpaceDN/>
        <w:bidi w:val="0"/>
        <w:adjustRightInd/>
        <w:snapToGrid/>
        <w:spacing w:line="269" w:lineRule="exact"/>
        <w:ind w:firstLine="420" w:firstLineChars="200"/>
        <w:textAlignment w:val="auto"/>
        <w:rPr>
          <w:rFonts w:ascii="Times New Roman" w:hAnsi="Times New Roman" w:eastAsia="Times New Roman"/>
        </w:rPr>
      </w:pP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宋体" w:hAnsi="宋体" w:eastAsia="宋体"/>
          <w:sz w:val="32"/>
        </w:rPr>
      </w:pPr>
      <w:r>
        <w:rPr>
          <w:rFonts w:ascii="宋体" w:hAnsi="宋体" w:eastAsia="宋体"/>
          <w:sz w:val="32"/>
        </w:rPr>
        <w:t>三、支出决算表</w:t>
      </w:r>
    </w:p>
    <w:p>
      <w:pPr>
        <w:keepNext w:val="0"/>
        <w:keepLines w:val="0"/>
        <w:pageBreakBefore w:val="0"/>
        <w:widowControl w:val="0"/>
        <w:kinsoku/>
        <w:wordWrap/>
        <w:overflowPunct/>
        <w:topLinePunct w:val="0"/>
        <w:autoSpaceDE/>
        <w:autoSpaceDN/>
        <w:bidi w:val="0"/>
        <w:adjustRightInd/>
        <w:snapToGrid/>
        <w:spacing w:line="269" w:lineRule="exact"/>
        <w:ind w:firstLine="420" w:firstLineChars="200"/>
        <w:textAlignment w:val="auto"/>
        <w:rPr>
          <w:rFonts w:ascii="Times New Roman" w:hAnsi="Times New Roman" w:eastAsia="Times New Roman"/>
        </w:rPr>
      </w:pP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宋体" w:hAnsi="宋体" w:eastAsia="宋体"/>
          <w:sz w:val="32"/>
        </w:rPr>
      </w:pPr>
      <w:r>
        <w:rPr>
          <w:rFonts w:ascii="宋体" w:hAnsi="宋体" w:eastAsia="宋体"/>
          <w:sz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269" w:lineRule="exact"/>
        <w:ind w:firstLine="420" w:firstLineChars="200"/>
        <w:textAlignment w:val="auto"/>
        <w:rPr>
          <w:rFonts w:ascii="Times New Roman" w:hAnsi="Times New Roman" w:eastAsia="Times New Roman"/>
        </w:rPr>
      </w:pP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宋体" w:hAnsi="宋体" w:eastAsia="宋体"/>
          <w:sz w:val="32"/>
        </w:rPr>
      </w:pPr>
      <w:r>
        <w:rPr>
          <w:rFonts w:ascii="宋体" w:hAnsi="宋体" w:eastAsia="宋体"/>
          <w:sz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271" w:lineRule="exact"/>
        <w:ind w:firstLine="420" w:firstLineChars="200"/>
        <w:textAlignment w:val="auto"/>
        <w:rPr>
          <w:rFonts w:ascii="Times New Roman" w:hAnsi="Times New Roman" w:eastAsia="Times New Roman"/>
        </w:rPr>
      </w:pP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宋体" w:hAnsi="宋体" w:eastAsia="宋体"/>
          <w:sz w:val="32"/>
        </w:rPr>
      </w:pPr>
      <w:r>
        <w:rPr>
          <w:rFonts w:ascii="宋体" w:hAnsi="宋体" w:eastAsia="宋体"/>
          <w:sz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269" w:lineRule="exact"/>
        <w:ind w:firstLine="420" w:firstLineChars="200"/>
        <w:textAlignment w:val="auto"/>
        <w:rPr>
          <w:rFonts w:ascii="Times New Roman" w:hAnsi="Times New Roman" w:eastAsia="Times New Roman"/>
        </w:rPr>
      </w:pP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宋体" w:hAnsi="宋体" w:eastAsia="宋体"/>
          <w:sz w:val="32"/>
        </w:rPr>
      </w:pPr>
      <w:r>
        <w:rPr>
          <w:rFonts w:ascii="宋体" w:hAnsi="宋体" w:eastAsia="宋体"/>
          <w:sz w:val="32"/>
        </w:rPr>
        <w:t>七、一般公共预算财政拨款“三公”经费支出决算表</w:t>
      </w:r>
    </w:p>
    <w:p>
      <w:pPr>
        <w:keepNext w:val="0"/>
        <w:keepLines w:val="0"/>
        <w:pageBreakBefore w:val="0"/>
        <w:widowControl w:val="0"/>
        <w:kinsoku/>
        <w:wordWrap/>
        <w:overflowPunct/>
        <w:topLinePunct w:val="0"/>
        <w:autoSpaceDE/>
        <w:autoSpaceDN/>
        <w:bidi w:val="0"/>
        <w:adjustRightInd/>
        <w:snapToGrid/>
        <w:spacing w:line="269" w:lineRule="exact"/>
        <w:ind w:firstLine="420" w:firstLineChars="200"/>
        <w:textAlignment w:val="auto"/>
        <w:rPr>
          <w:rFonts w:ascii="Times New Roman" w:hAnsi="Times New Roman" w:eastAsia="Times New Roman"/>
        </w:rPr>
      </w:pP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宋体" w:hAnsi="宋体" w:eastAsia="宋体"/>
          <w:sz w:val="32"/>
        </w:rPr>
      </w:pPr>
      <w:r>
        <w:rPr>
          <w:rFonts w:ascii="宋体" w:hAnsi="宋体" w:eastAsia="宋体"/>
          <w:sz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284" w:lineRule="exact"/>
        <w:ind w:firstLine="420" w:firstLineChars="200"/>
        <w:textAlignment w:val="auto"/>
        <w:rPr>
          <w:rFonts w:ascii="Times New Roman" w:hAnsi="Times New Roman" w:eastAsia="Times New Roman"/>
        </w:rPr>
      </w:pPr>
    </w:p>
    <w:p>
      <w:pPr>
        <w:keepNext w:val="0"/>
        <w:keepLines w:val="0"/>
        <w:pageBreakBefore w:val="0"/>
        <w:widowControl w:val="0"/>
        <w:numPr>
          <w:ilvl w:val="0"/>
          <w:numId w:val="1"/>
        </w:numPr>
        <w:tabs>
          <w:tab w:val="left" w:pos="1900"/>
        </w:tabs>
        <w:kinsoku/>
        <w:wordWrap/>
        <w:overflowPunct/>
        <w:topLinePunct w:val="0"/>
        <w:autoSpaceDE/>
        <w:autoSpaceDN/>
        <w:bidi w:val="0"/>
        <w:adjustRightInd/>
        <w:snapToGrid/>
        <w:spacing w:line="0" w:lineRule="atLeast"/>
        <w:ind w:firstLine="620" w:firstLineChars="200"/>
        <w:textAlignment w:val="auto"/>
        <w:rPr>
          <w:rFonts w:ascii="黑体" w:hAnsi="黑体" w:eastAsia="黑体"/>
          <w:sz w:val="31"/>
        </w:rPr>
      </w:pPr>
      <w:r>
        <w:rPr>
          <w:rFonts w:ascii="黑体" w:hAnsi="黑体" w:eastAsia="黑体"/>
          <w:sz w:val="31"/>
        </w:rPr>
        <w:t>濮阳县</w:t>
      </w:r>
      <w:r>
        <w:rPr>
          <w:rFonts w:hint="eastAsia" w:ascii="黑体" w:hAnsi="黑体" w:eastAsia="黑体"/>
          <w:sz w:val="31"/>
          <w:lang w:eastAsia="zh-CN"/>
        </w:rPr>
        <w:t>住建局</w:t>
      </w:r>
      <w:r>
        <w:rPr>
          <w:rFonts w:ascii="黑体" w:hAnsi="黑体" w:eastAsia="黑体"/>
          <w:sz w:val="31"/>
        </w:rPr>
        <w:t>201</w:t>
      </w:r>
      <w:r>
        <w:rPr>
          <w:rFonts w:hint="eastAsia" w:ascii="黑体" w:hAnsi="黑体" w:eastAsia="黑体"/>
          <w:sz w:val="31"/>
          <w:lang w:val="en-US" w:eastAsia="zh-CN"/>
        </w:rPr>
        <w:t>9</w:t>
      </w:r>
      <w:r>
        <w:rPr>
          <w:rFonts w:ascii="黑体" w:hAnsi="黑体" w:eastAsia="黑体"/>
          <w:sz w:val="31"/>
        </w:rPr>
        <w:t xml:space="preserve"> 年度部门决算情况说明</w:t>
      </w:r>
    </w:p>
    <w:p>
      <w:pPr>
        <w:keepNext w:val="0"/>
        <w:keepLines w:val="0"/>
        <w:pageBreakBefore w:val="0"/>
        <w:widowControl w:val="0"/>
        <w:numPr>
          <w:ilvl w:val="0"/>
          <w:numId w:val="0"/>
        </w:numPr>
        <w:tabs>
          <w:tab w:val="left" w:pos="1900"/>
        </w:tabs>
        <w:kinsoku/>
        <w:wordWrap/>
        <w:overflowPunct/>
        <w:topLinePunct w:val="0"/>
        <w:autoSpaceDE/>
        <w:autoSpaceDN/>
        <w:bidi w:val="0"/>
        <w:adjustRightInd/>
        <w:snapToGrid/>
        <w:spacing w:line="0" w:lineRule="atLeast"/>
        <w:textAlignment w:val="auto"/>
        <w:rPr>
          <w:rFonts w:ascii="黑体" w:hAnsi="黑体" w:eastAsia="黑体"/>
          <w:sz w:val="31"/>
        </w:rPr>
      </w:pPr>
    </w:p>
    <w:p>
      <w:pPr>
        <w:pStyle w:val="3"/>
        <w:keepNext w:val="0"/>
        <w:keepLines w:val="0"/>
        <w:pageBreakBefore w:val="0"/>
        <w:widowControl w:val="0"/>
        <w:numPr>
          <w:ilvl w:val="0"/>
          <w:numId w:val="2"/>
        </w:numPr>
        <w:kinsoku/>
        <w:wordWrap/>
        <w:overflowPunct/>
        <w:topLinePunct w:val="0"/>
        <w:autoSpaceDE/>
        <w:autoSpaceDN/>
        <w:bidi w:val="0"/>
        <w:adjustRightInd/>
        <w:snapToGrid/>
        <w:spacing w:line="372" w:lineRule="auto"/>
        <w:ind w:right="0" w:firstLine="636" w:firstLineChars="200"/>
        <w:textAlignment w:val="auto"/>
        <w:rPr>
          <w:spacing w:val="-1"/>
        </w:rPr>
      </w:pPr>
      <w:r>
        <w:rPr>
          <w:spacing w:val="-1"/>
        </w:rPr>
        <w:t>收入支出决算总体情况说明</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72" w:lineRule="auto"/>
        <w:ind w:right="0" w:rightChars="0" w:firstLine="640" w:firstLineChars="200"/>
        <w:textAlignment w:val="auto"/>
      </w:pPr>
      <w:r>
        <w:t>二、收入决算情况说明</w:t>
      </w:r>
    </w:p>
    <w:p>
      <w:pPr>
        <w:pStyle w:val="3"/>
        <w:keepNext w:val="0"/>
        <w:keepLines w:val="0"/>
        <w:pageBreakBefore w:val="0"/>
        <w:widowControl w:val="0"/>
        <w:kinsoku/>
        <w:wordWrap/>
        <w:overflowPunct/>
        <w:topLinePunct w:val="0"/>
        <w:autoSpaceDE/>
        <w:autoSpaceDN/>
        <w:bidi w:val="0"/>
        <w:adjustRightInd/>
        <w:snapToGrid/>
        <w:spacing w:line="409" w:lineRule="exact"/>
        <w:ind w:firstLine="608" w:firstLineChars="200"/>
        <w:textAlignment w:val="auto"/>
      </w:pPr>
      <w:r>
        <w:rPr>
          <w:w w:val="95"/>
        </w:rPr>
        <w:t>三、支出决算情况说明</w:t>
      </w:r>
    </w:p>
    <w:p>
      <w:pPr>
        <w:pStyle w:val="3"/>
        <w:keepNext w:val="0"/>
        <w:keepLines w:val="0"/>
        <w:pageBreakBefore w:val="0"/>
        <w:widowControl w:val="0"/>
        <w:kinsoku/>
        <w:wordWrap/>
        <w:overflowPunct/>
        <w:topLinePunct w:val="0"/>
        <w:autoSpaceDE/>
        <w:autoSpaceDN/>
        <w:bidi w:val="0"/>
        <w:adjustRightInd/>
        <w:snapToGrid/>
        <w:spacing w:before="223"/>
        <w:ind w:firstLine="640" w:firstLineChars="200"/>
        <w:textAlignment w:val="auto"/>
      </w:pPr>
      <w:r>
        <w:t>四、财政拨款收入支出决算总体情况说明</w:t>
      </w:r>
    </w:p>
    <w:p>
      <w:pPr>
        <w:pStyle w:val="3"/>
        <w:keepNext w:val="0"/>
        <w:keepLines w:val="0"/>
        <w:pageBreakBefore w:val="0"/>
        <w:widowControl w:val="0"/>
        <w:kinsoku/>
        <w:wordWrap/>
        <w:overflowPunct/>
        <w:topLinePunct w:val="0"/>
        <w:autoSpaceDE/>
        <w:autoSpaceDN/>
        <w:bidi w:val="0"/>
        <w:adjustRightInd/>
        <w:snapToGrid/>
        <w:spacing w:before="224"/>
        <w:ind w:firstLine="640" w:firstLineChars="200"/>
        <w:textAlignment w:val="auto"/>
      </w:pPr>
      <w:r>
        <w:t>五、一般公共预算财政拨款支出决算情况说明</w:t>
      </w:r>
    </w:p>
    <w:p>
      <w:pPr>
        <w:pStyle w:val="3"/>
        <w:keepNext w:val="0"/>
        <w:keepLines w:val="0"/>
        <w:pageBreakBefore w:val="0"/>
        <w:widowControl w:val="0"/>
        <w:kinsoku/>
        <w:wordWrap/>
        <w:overflowPunct/>
        <w:topLinePunct w:val="0"/>
        <w:autoSpaceDE/>
        <w:autoSpaceDN/>
        <w:bidi w:val="0"/>
        <w:adjustRightInd/>
        <w:snapToGrid/>
        <w:spacing w:before="223"/>
        <w:ind w:firstLine="640" w:firstLineChars="200"/>
        <w:textAlignment w:val="auto"/>
      </w:pPr>
      <w:r>
        <w:t>六、一般公共预算财政拨款基本支出决算情况说明</w:t>
      </w:r>
    </w:p>
    <w:p>
      <w:pPr>
        <w:pStyle w:val="3"/>
        <w:keepNext w:val="0"/>
        <w:keepLines w:val="0"/>
        <w:pageBreakBefore w:val="0"/>
        <w:widowControl w:val="0"/>
        <w:kinsoku/>
        <w:wordWrap/>
        <w:overflowPunct/>
        <w:topLinePunct w:val="0"/>
        <w:autoSpaceDE/>
        <w:autoSpaceDN/>
        <w:bidi w:val="0"/>
        <w:adjustRightInd/>
        <w:snapToGrid/>
        <w:spacing w:before="224"/>
        <w:ind w:firstLine="596" w:firstLineChars="200"/>
        <w:textAlignment w:val="auto"/>
        <w:rPr>
          <w:spacing w:val="-11"/>
          <w:w w:val="100"/>
        </w:rPr>
      </w:pPr>
      <w:r>
        <w:rPr>
          <w:spacing w:val="-11"/>
          <w:w w:val="100"/>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after="0"/>
        <w:ind w:firstLine="396" w:firstLineChars="200"/>
        <w:textAlignment w:val="auto"/>
        <w:rPr>
          <w:spacing w:val="-6"/>
          <w:w w:val="100"/>
        </w:rPr>
        <w:sectPr>
          <w:pgSz w:w="11910" w:h="16840"/>
          <w:pgMar w:top="1480" w:right="1540" w:bottom="280" w:left="1480" w:header="720" w:footer="720" w:gutter="0"/>
          <w:pgBorders>
            <w:top w:val="none" w:sz="0" w:space="0"/>
            <w:left w:val="none" w:sz="0" w:space="0"/>
            <w:bottom w:val="none" w:sz="0" w:space="0"/>
            <w:right w:val="none" w:sz="0" w:space="0"/>
          </w:pgBorders>
          <w:cols w:space="720" w:num="1"/>
        </w:sectPr>
      </w:pPr>
    </w:p>
    <w:p>
      <w:pPr>
        <w:pStyle w:val="3"/>
        <w:keepNext w:val="0"/>
        <w:keepLines w:val="0"/>
        <w:pageBreakBefore w:val="0"/>
        <w:widowControl w:val="0"/>
        <w:kinsoku/>
        <w:wordWrap/>
        <w:overflowPunct/>
        <w:topLinePunct w:val="0"/>
        <w:autoSpaceDE/>
        <w:autoSpaceDN/>
        <w:bidi w:val="0"/>
        <w:adjustRightInd/>
        <w:snapToGrid/>
        <w:spacing w:before="35"/>
        <w:ind w:firstLine="640" w:firstLineChars="200"/>
        <w:textAlignment w:val="auto"/>
      </w:pPr>
      <w:r>
        <w:t>八、预算绩效情况说明</w:t>
      </w:r>
    </w:p>
    <w:p>
      <w:pPr>
        <w:keepNext w:val="0"/>
        <w:keepLines w:val="0"/>
        <w:pageBreakBefore w:val="0"/>
        <w:widowControl w:val="0"/>
        <w:numPr>
          <w:ilvl w:val="0"/>
          <w:numId w:val="0"/>
        </w:numPr>
        <w:tabs>
          <w:tab w:val="left" w:pos="1900"/>
        </w:tabs>
        <w:kinsoku/>
        <w:wordWrap/>
        <w:overflowPunct/>
        <w:topLinePunct w:val="0"/>
        <w:autoSpaceDE/>
        <w:autoSpaceDN/>
        <w:bidi w:val="0"/>
        <w:adjustRightInd/>
        <w:snapToGrid/>
        <w:spacing w:line="0" w:lineRule="atLeast"/>
        <w:ind w:firstLine="620" w:firstLineChars="200"/>
        <w:textAlignment w:val="auto"/>
        <w:rPr>
          <w:rFonts w:hint="eastAsia" w:ascii="黑体" w:hAnsi="黑体" w:eastAsia="黑体"/>
          <w:sz w:val="31"/>
          <w:lang w:val="en-US" w:eastAsia="zh-CN"/>
        </w:rPr>
      </w:pPr>
      <w:r>
        <w:rPr>
          <w:rFonts w:hint="eastAsia" w:ascii="黑体" w:hAnsi="黑体" w:eastAsia="黑体"/>
          <w:sz w:val="31"/>
          <w:lang w:val="en-US" w:eastAsia="zh-CN"/>
        </w:rPr>
        <w:t xml:space="preserve">     </w:t>
      </w:r>
    </w:p>
    <w:p>
      <w:pPr>
        <w:keepNext w:val="0"/>
        <w:keepLines w:val="0"/>
        <w:pageBreakBefore w:val="0"/>
        <w:widowControl w:val="0"/>
        <w:numPr>
          <w:ilvl w:val="0"/>
          <w:numId w:val="0"/>
        </w:numPr>
        <w:tabs>
          <w:tab w:val="left" w:pos="1900"/>
        </w:tabs>
        <w:kinsoku/>
        <w:wordWrap/>
        <w:overflowPunct/>
        <w:topLinePunct w:val="0"/>
        <w:autoSpaceDE/>
        <w:autoSpaceDN/>
        <w:bidi w:val="0"/>
        <w:adjustRightInd/>
        <w:snapToGrid/>
        <w:spacing w:line="0" w:lineRule="atLeas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九、政府性基金预算财政拨款支出决算情况说明</w:t>
      </w:r>
    </w:p>
    <w:p>
      <w:pPr>
        <w:pStyle w:val="3"/>
        <w:keepNext w:val="0"/>
        <w:keepLines w:val="0"/>
        <w:pageBreakBefore w:val="0"/>
        <w:widowControl w:val="0"/>
        <w:kinsoku/>
        <w:wordWrap/>
        <w:overflowPunct/>
        <w:topLinePunct w:val="0"/>
        <w:autoSpaceDE/>
        <w:autoSpaceDN/>
        <w:bidi w:val="0"/>
        <w:adjustRightInd/>
        <w:snapToGrid/>
        <w:spacing w:before="223" w:line="372" w:lineRule="auto"/>
        <w:ind w:right="1417" w:firstLine="640" w:firstLineChars="200"/>
        <w:textAlignment w:val="auto"/>
      </w:pPr>
      <w:r>
        <w:t>十、机关运行经费支出情况说明</w:t>
      </w:r>
    </w:p>
    <w:p>
      <w:pPr>
        <w:pStyle w:val="3"/>
        <w:keepNext w:val="0"/>
        <w:keepLines w:val="0"/>
        <w:pageBreakBefore w:val="0"/>
        <w:widowControl w:val="0"/>
        <w:kinsoku/>
        <w:wordWrap/>
        <w:overflowPunct/>
        <w:topLinePunct w:val="0"/>
        <w:autoSpaceDE/>
        <w:autoSpaceDN/>
        <w:bidi w:val="0"/>
        <w:adjustRightInd/>
        <w:snapToGrid/>
        <w:spacing w:line="372" w:lineRule="auto"/>
        <w:ind w:right="3977" w:firstLine="640" w:firstLineChars="200"/>
        <w:textAlignment w:val="auto"/>
        <w:rPr>
          <w:rFonts w:hint="eastAsia" w:eastAsia="宋体"/>
          <w:lang w:val="en-US" w:eastAsia="zh-CN"/>
        </w:rPr>
      </w:pPr>
      <w:r>
        <w:t>十一、政府采购支出情况说</w:t>
      </w:r>
      <w:r>
        <w:rPr>
          <w:rFonts w:hint="eastAsia"/>
          <w:lang w:val="en-US" w:eastAsia="zh-CN"/>
        </w:rPr>
        <w:t>明</w:t>
      </w:r>
    </w:p>
    <w:p>
      <w:pPr>
        <w:pStyle w:val="3"/>
        <w:keepNext w:val="0"/>
        <w:keepLines w:val="0"/>
        <w:pageBreakBefore w:val="0"/>
        <w:widowControl w:val="0"/>
        <w:kinsoku/>
        <w:wordWrap/>
        <w:overflowPunct/>
        <w:topLinePunct w:val="0"/>
        <w:autoSpaceDE/>
        <w:autoSpaceDN/>
        <w:bidi w:val="0"/>
        <w:adjustRightInd/>
        <w:snapToGrid/>
        <w:spacing w:line="372" w:lineRule="auto"/>
        <w:ind w:right="3977" w:firstLine="640" w:firstLineChars="200"/>
        <w:textAlignment w:val="auto"/>
      </w:pPr>
      <w:r>
        <w:t>十二、国有资产占用情况说明</w:t>
      </w:r>
    </w:p>
    <w:p>
      <w:pPr>
        <w:pStyle w:val="3"/>
        <w:keepNext w:val="0"/>
        <w:keepLines w:val="0"/>
        <w:pageBreakBefore w:val="0"/>
        <w:widowControl w:val="0"/>
        <w:tabs>
          <w:tab w:val="left" w:pos="2026"/>
        </w:tabs>
        <w:kinsoku/>
        <w:wordWrap/>
        <w:overflowPunct/>
        <w:topLinePunct w:val="0"/>
        <w:autoSpaceDE/>
        <w:autoSpaceDN/>
        <w:bidi w:val="0"/>
        <w:adjustRightInd/>
        <w:snapToGrid/>
        <w:spacing w:line="409" w:lineRule="exact"/>
        <w:ind w:left="106" w:firstLine="640" w:firstLineChars="200"/>
        <w:textAlignment w:val="auto"/>
        <w:rPr>
          <w:rFonts w:hint="eastAsia" w:ascii="黑体" w:eastAsia="黑体"/>
        </w:rPr>
      </w:pPr>
      <w:r>
        <w:rPr>
          <w:rFonts w:hint="eastAsia" w:ascii="黑体" w:eastAsia="黑体"/>
        </w:rPr>
        <w:t>第四部分</w:t>
      </w:r>
      <w:r>
        <w:rPr>
          <w:rFonts w:hint="eastAsia" w:ascii="黑体" w:eastAsia="黑体"/>
        </w:rPr>
        <w:tab/>
      </w:r>
      <w:r>
        <w:rPr>
          <w:rFonts w:hint="eastAsia" w:ascii="黑体" w:eastAsia="黑体"/>
        </w:rPr>
        <w:t>名词解释</w:t>
      </w:r>
    </w:p>
    <w:p>
      <w:pPr>
        <w:pStyle w:val="3"/>
        <w:spacing w:line="372" w:lineRule="auto"/>
        <w:ind w:left="672" w:leftChars="320" w:right="3977" w:firstLine="320" w:firstLineChars="100"/>
      </w:pPr>
    </w:p>
    <w:p>
      <w:pPr>
        <w:numPr>
          <w:ilvl w:val="0"/>
          <w:numId w:val="0"/>
        </w:numPr>
        <w:tabs>
          <w:tab w:val="left" w:pos="1900"/>
        </w:tabs>
        <w:spacing w:line="0" w:lineRule="atLeast"/>
        <w:rPr>
          <w:rFonts w:hint="eastAsia" w:ascii="宋体" w:hAnsi="宋体" w:eastAsia="宋体" w:cs="宋体"/>
          <w:sz w:val="32"/>
          <w:szCs w:val="32"/>
          <w:lang w:val="en-US" w:eastAsia="zh-CN"/>
        </w:rPr>
      </w:pPr>
    </w:p>
    <w:p>
      <w:pPr>
        <w:spacing w:line="269" w:lineRule="exact"/>
        <w:rPr>
          <w:rFonts w:ascii="Times New Roman" w:hAnsi="Times New Roman" w:eastAsia="Times New Roman"/>
        </w:rPr>
      </w:pPr>
    </w:p>
    <w:p>
      <w:pPr>
        <w:tabs>
          <w:tab w:val="left" w:pos="1900"/>
        </w:tabs>
        <w:spacing w:line="0" w:lineRule="atLeast"/>
        <w:rPr>
          <w:rFonts w:ascii="黑体" w:hAnsi="黑体" w:eastAsia="黑体"/>
          <w:sz w:val="32"/>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tabs>
          <w:tab w:val="left" w:pos="2860"/>
        </w:tabs>
        <w:spacing w:line="0" w:lineRule="atLeast"/>
        <w:jc w:val="center"/>
        <w:rPr>
          <w:rFonts w:ascii="Cambria" w:hAnsi="微软雅黑" w:eastAsia="微软雅黑"/>
          <w:sz w:val="47"/>
        </w:rPr>
      </w:pPr>
      <w:r>
        <w:rPr>
          <w:rFonts w:ascii="Cambria" w:hAnsi="微软雅黑" w:eastAsia="微软雅黑"/>
          <w:sz w:val="47"/>
        </w:rPr>
        <w:t>第一部分</w:t>
      </w:r>
      <w:r>
        <w:rPr>
          <w:rFonts w:ascii="Cambria" w:hAnsi="Times New Roman" w:eastAsia="Times New Roman"/>
        </w:rPr>
        <w:tab/>
      </w:r>
      <w:r>
        <w:rPr>
          <w:rFonts w:ascii="Cambria" w:hAnsi="黑体" w:eastAsia="黑体"/>
          <w:sz w:val="47"/>
        </w:rPr>
        <w:t>濮阳县</w:t>
      </w:r>
      <w:r>
        <w:rPr>
          <w:rFonts w:hint="eastAsia" w:ascii="Cambria" w:hAnsi="黑体" w:eastAsia="黑体"/>
          <w:sz w:val="47"/>
          <w:lang w:eastAsia="zh-CN"/>
        </w:rPr>
        <w:t>住建局</w:t>
      </w:r>
      <w:r>
        <w:rPr>
          <w:rFonts w:ascii="Cambria" w:hAnsi="微软雅黑" w:eastAsia="微软雅黑"/>
          <w:sz w:val="47"/>
        </w:rPr>
        <w:t>概况</w:t>
      </w:r>
    </w:p>
    <w:p>
      <w:pPr>
        <w:spacing w:line="200" w:lineRule="exact"/>
        <w:rPr>
          <w:rFonts w:ascii="Times New Roman" w:hAnsi="Times New Roman" w:eastAsia="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bookmarkStart w:id="0" w:name="page4"/>
      <w:bookmarkEnd w:id="0"/>
      <w:r>
        <w:rPr>
          <w:rFonts w:ascii="黑体" w:hAnsi="黑体" w:eastAsia="黑体"/>
          <w:sz w:val="32"/>
          <w:szCs w:val="32"/>
        </w:rPr>
        <w:t>一、主要职责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1、负责全县城镇中低收入群体住房保障工作；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2、负责推进全县住房制度改革和住房发展工作；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3、监督管理全县房地产市场；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4、监督管理全县建筑市场；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5、负责全县房屋建筑和市政基础设施工程建设质量安全监管工作；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6、负责规范全县城市设计、工程勘察设计市场秩序，监督管理全县城市设计、工程勘察设计质量工作；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7、负责建立全县科学规范的工程建设标准体系；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8、指导全县城市建设工作；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9、负责规范和指导全县城镇建设工作；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10、负责推进全县建筑节能、城镇减排和墙体材料革新工作；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11、负责城市建设档案的收集、管理和利用工作；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12、负责建设系统行业管理相关工作；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13、开展住房和城乡建设领域的对外交流工作；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14、贯彻执行国家、省、市人民防空法律、规章和方针政策，拟定全县人民防空政策并监督实施；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15、负责拟定全县人民防空建设规划、城市平战综合防护建设发展规划及相关专项规划并组织实施；参与拟定重要经济目标防护建设总体规划、城市地下空间暨人民防空工程综合利用规划并协同实施；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16、监督管理全县人民防空设施建设、维护和使用；监督指导城市地下空间兼顾人民防空需要防护部分的管理；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17、负责组织开展人民防空执法监管工作；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18、会同有关部门指导开展城市和重要经济目标单位防护工作；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19、指导开展人民防空群众组织建设；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20、开展人民防空日常战备工作；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21、组织开展人民防空宣传教育工作；组织开展人民防空科研工作，推进人民防空科技创新和科研成果转化应用推广；组织实施人民防空信息化体系能力建设；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22、负责人民防空平战工作，利用人民防空战备资源参与抢险救灾、服务民生、改善民生，为应急救援提供支持；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23、推进人民防空平战建设与经济社会融合发展；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24、负责依法征缴人民防空工程易地建设费，会同有关部门制定人民防空建设市场投融资政策；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25、完成县委、县政府交办的其他任务；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26、与濮阳县城市管理局的有关职责分工。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333333"/>
          <w:sz w:val="32"/>
          <w:szCs w:val="32"/>
          <w:lang w:val="en-US" w:eastAsia="zh-CN"/>
        </w:rPr>
      </w:pPr>
      <w:r>
        <w:rPr>
          <w:rFonts w:hint="eastAsia" w:ascii="黑体" w:hAnsi="黑体" w:eastAsia="黑体" w:cs="黑体"/>
          <w:b/>
          <w:bCs/>
          <w:color w:val="333333"/>
          <w:sz w:val="32"/>
          <w:szCs w:val="32"/>
          <w:lang w:eastAsia="zh-CN"/>
        </w:rPr>
        <w:t>内设机构</w:t>
      </w:r>
      <w:r>
        <w:rPr>
          <w:rFonts w:hint="eastAsia" w:ascii="黑体" w:hAnsi="黑体" w:eastAsia="黑体" w:cs="黑体"/>
          <w:b/>
          <w:bCs/>
          <w:color w:val="333333"/>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纳入濮阳县住房和城乡建设局</w:t>
      </w:r>
      <w:r>
        <w:rPr>
          <w:rFonts w:hint="eastAsia" w:ascii="宋体" w:hAnsi="宋体"/>
          <w:sz w:val="32"/>
          <w:szCs w:val="32"/>
          <w:lang w:val="en-US" w:eastAsia="zh-CN"/>
        </w:rPr>
        <w:t>2019</w:t>
      </w:r>
      <w:r>
        <w:rPr>
          <w:rFonts w:hint="eastAsia" w:ascii="宋体" w:hAnsi="宋体"/>
          <w:sz w:val="32"/>
          <w:szCs w:val="32"/>
        </w:rPr>
        <w:t>年度部门预算的单位包括：（有独立二级机构的说明,没有的直接写单位内设机构）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1、濮阳县住房和城乡建设局本级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内设机构：办公室、政策法规股、住房保障股（房地产市场监管股）、建设工程管理股（科学与标准股）、城市与建筑设计股（濮阳县抗震办公室）、城市建设管理股（消防工程管理股）、村镇建设股、指挥通讯股（人防工程管理股）。</w:t>
      </w:r>
    </w:p>
    <w:p>
      <w:pPr>
        <w:keepNext w:val="0"/>
        <w:keepLines w:val="0"/>
        <w:pageBreakBefore w:val="0"/>
        <w:kinsoku/>
        <w:wordWrap/>
        <w:overflowPunct/>
        <w:topLinePunct w:val="0"/>
        <w:autoSpaceDE/>
        <w:autoSpaceDN/>
        <w:bidi w:val="0"/>
        <w:adjustRightInd/>
        <w:snapToGrid/>
        <w:spacing w:line="560" w:lineRule="exact"/>
        <w:ind w:left="640" w:leftChars="0" w:firstLine="0" w:firstLineChars="0"/>
        <w:textAlignment w:val="auto"/>
        <w:rPr>
          <w:rFonts w:ascii="黑体" w:hAnsi="黑体" w:eastAsia="黑体"/>
          <w:sz w:val="32"/>
        </w:rPr>
      </w:pPr>
      <w:r>
        <w:rPr>
          <w:rFonts w:ascii="黑体" w:hAnsi="黑体" w:eastAsia="黑体"/>
          <w:sz w:val="32"/>
        </w:rPr>
        <w:t>二、部门决算单位构成</w:t>
      </w:r>
    </w:p>
    <w:p>
      <w:pPr>
        <w:keepNext w:val="0"/>
        <w:keepLines w:val="0"/>
        <w:pageBreakBefore w:val="0"/>
        <w:widowControl/>
        <w:kinsoku/>
        <w:wordWrap/>
        <w:overflowPunct/>
        <w:topLinePunct w:val="0"/>
        <w:autoSpaceDE/>
        <w:autoSpaceDN/>
        <w:bidi w:val="0"/>
        <w:adjustRightInd/>
        <w:snapToGrid/>
        <w:spacing w:line="560" w:lineRule="exact"/>
        <w:ind w:left="220" w:leftChars="0" w:firstLine="617" w:firstLineChars="193"/>
        <w:textAlignment w:val="auto"/>
        <w:outlineLvl w:val="9"/>
        <w:rPr>
          <w:rFonts w:hint="eastAsia" w:ascii="宋体" w:hAnsi="宋体" w:eastAsia="宋体" w:cs="宋体"/>
          <w:color w:val="000000"/>
          <w:sz w:val="32"/>
          <w:szCs w:val="32"/>
          <w:highlight w:val="none"/>
        </w:rPr>
      </w:pPr>
      <w:r>
        <w:rPr>
          <w:rFonts w:hint="eastAsia" w:ascii="宋体" w:hAnsi="宋体" w:eastAsia="宋体" w:cs="宋体"/>
          <w:sz w:val="32"/>
          <w:szCs w:val="32"/>
        </w:rPr>
        <w:t>纳入濮阳县</w:t>
      </w:r>
      <w:r>
        <w:rPr>
          <w:rFonts w:hint="eastAsia" w:ascii="宋体" w:hAnsi="宋体" w:eastAsia="宋体" w:cs="宋体"/>
          <w:sz w:val="32"/>
          <w:szCs w:val="32"/>
          <w:lang w:eastAsia="zh-CN"/>
        </w:rPr>
        <w:t>住建局</w:t>
      </w:r>
      <w:r>
        <w:rPr>
          <w:rFonts w:hint="eastAsia" w:ascii="宋体" w:hAnsi="宋体" w:eastAsia="宋体" w:cs="宋体"/>
          <w:sz w:val="32"/>
          <w:szCs w:val="32"/>
        </w:rPr>
        <w:t xml:space="preserve"> 201</w:t>
      </w:r>
      <w:r>
        <w:rPr>
          <w:rFonts w:hint="eastAsia" w:ascii="宋体" w:hAnsi="宋体" w:eastAsia="宋体" w:cs="宋体"/>
          <w:sz w:val="32"/>
          <w:szCs w:val="32"/>
          <w:lang w:val="en-US" w:eastAsia="zh-CN"/>
        </w:rPr>
        <w:t>9</w:t>
      </w:r>
      <w:r>
        <w:rPr>
          <w:rFonts w:hint="eastAsia" w:ascii="宋体" w:hAnsi="宋体" w:eastAsia="宋体" w:cs="宋体"/>
          <w:sz w:val="32"/>
          <w:szCs w:val="32"/>
        </w:rPr>
        <w:t>年度部门决算编制范围的单位包括：濮阳县</w:t>
      </w:r>
      <w:r>
        <w:rPr>
          <w:rFonts w:hint="eastAsia" w:ascii="宋体" w:hAnsi="宋体" w:eastAsia="宋体" w:cs="宋体"/>
          <w:sz w:val="32"/>
          <w:szCs w:val="32"/>
          <w:lang w:eastAsia="zh-CN"/>
        </w:rPr>
        <w:t>住建局</w:t>
      </w:r>
      <w:r>
        <w:rPr>
          <w:rFonts w:hint="eastAsia" w:ascii="宋体" w:hAnsi="宋体" w:eastAsia="宋体" w:cs="宋体"/>
          <w:sz w:val="32"/>
          <w:szCs w:val="32"/>
        </w:rPr>
        <w:t>本级</w:t>
      </w:r>
      <w:r>
        <w:rPr>
          <w:rFonts w:hint="eastAsia" w:ascii="宋体" w:hAnsi="宋体" w:eastAsia="宋体" w:cs="宋体"/>
          <w:sz w:val="32"/>
          <w:szCs w:val="32"/>
          <w:lang w:eastAsia="zh-CN"/>
        </w:rPr>
        <w:t>，</w:t>
      </w:r>
      <w:r>
        <w:rPr>
          <w:rFonts w:hint="eastAsia" w:ascii="宋体" w:hAnsi="宋体" w:eastAsia="宋体" w:cs="宋体"/>
          <w:color w:val="000000"/>
          <w:sz w:val="32"/>
          <w:szCs w:val="32"/>
          <w:lang w:eastAsia="zh-CN"/>
        </w:rPr>
        <w:t>我单位没有下属二级预算单位，</w:t>
      </w:r>
      <w:r>
        <w:rPr>
          <w:rFonts w:hint="eastAsia" w:ascii="宋体" w:hAnsi="宋体" w:eastAsia="宋体" w:cs="宋体"/>
          <w:color w:val="000000"/>
          <w:sz w:val="32"/>
          <w:szCs w:val="32"/>
          <w:highlight w:val="none"/>
          <w:lang w:eastAsia="zh-CN"/>
        </w:rPr>
        <w:t>本级决算即汇总决算。</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footerReference r:id="rId3" w:type="default"/>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4070" w:type="dxa"/>
        <w:tblInd w:w="0" w:type="dxa"/>
        <w:shd w:val="clear" w:color="auto" w:fill="auto"/>
        <w:tblLayout w:type="autofit"/>
        <w:tblCellMar>
          <w:top w:w="0" w:type="dxa"/>
          <w:left w:w="0" w:type="dxa"/>
          <w:bottom w:w="0" w:type="dxa"/>
          <w:right w:w="0" w:type="dxa"/>
        </w:tblCellMar>
      </w:tblPr>
      <w:tblGrid>
        <w:gridCol w:w="4612"/>
        <w:gridCol w:w="651"/>
        <w:gridCol w:w="1565"/>
        <w:gridCol w:w="4612"/>
        <w:gridCol w:w="651"/>
        <w:gridCol w:w="1979"/>
      </w:tblGrid>
      <w:tr>
        <w:tblPrEx>
          <w:shd w:val="clear" w:color="auto" w:fill="auto"/>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部门：濮阳县住房和城乡规划建设局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94,055.76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171,843.00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3,572.41</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174,847.00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87,276.00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265,898.76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265,898.76</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265,898.76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265,898.76</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124" w:type="dxa"/>
        <w:tblInd w:w="0" w:type="dxa"/>
        <w:shd w:val="clear" w:color="auto" w:fill="auto"/>
        <w:tblLayout w:type="fixed"/>
        <w:tblCellMar>
          <w:top w:w="0" w:type="dxa"/>
          <w:left w:w="0" w:type="dxa"/>
          <w:bottom w:w="0" w:type="dxa"/>
          <w:right w:w="0" w:type="dxa"/>
        </w:tblCellMar>
      </w:tblPr>
      <w:tblGrid>
        <w:gridCol w:w="1084"/>
        <w:gridCol w:w="4290"/>
        <w:gridCol w:w="1935"/>
        <w:gridCol w:w="2415"/>
        <w:gridCol w:w="1335"/>
        <w:gridCol w:w="1080"/>
        <w:gridCol w:w="930"/>
        <w:gridCol w:w="929"/>
        <w:gridCol w:w="1126"/>
      </w:tblGrid>
      <w:tr>
        <w:tblPrEx>
          <w:shd w:val="clear" w:color="auto" w:fill="auto"/>
          <w:tblCellMar>
            <w:top w:w="0" w:type="dxa"/>
            <w:left w:w="0" w:type="dxa"/>
            <w:bottom w:w="0" w:type="dxa"/>
            <w:right w:w="0" w:type="dxa"/>
          </w:tblCellMar>
        </w:tblPrEx>
        <w:trPr>
          <w:trHeight w:val="390" w:hRule="atLeast"/>
        </w:trPr>
        <w:tc>
          <w:tcPr>
            <w:tcW w:w="15124" w:type="dxa"/>
            <w:gridSpan w:val="9"/>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5374" w:type="dxa"/>
            <w:gridSpan w:val="2"/>
            <w:vMerge w:val="restart"/>
            <w:tcBorders>
              <w:top w:val="nil"/>
              <w:left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部门：濮阳县住房和城乡规划建设局</w:t>
            </w:r>
          </w:p>
        </w:tc>
        <w:tc>
          <w:tcPr>
            <w:tcW w:w="19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1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55"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5374" w:type="dxa"/>
            <w:gridSpan w:val="2"/>
            <w:vMerge w:val="continue"/>
            <w:tcBorders>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1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55"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37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35"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2415"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335"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08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93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929"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126"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1084"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290"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3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1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84"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90"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3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1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84"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90"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3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1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374" w:type="dxa"/>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3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41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3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8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3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29"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2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5374" w:type="dxa"/>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265,898.76</w:t>
            </w:r>
          </w:p>
        </w:tc>
        <w:tc>
          <w:tcPr>
            <w:tcW w:w="24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265,898.76</w:t>
            </w:r>
          </w:p>
        </w:tc>
        <w:tc>
          <w:tcPr>
            <w:tcW w:w="13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2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9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144.72</w:t>
            </w:r>
          </w:p>
        </w:tc>
        <w:tc>
          <w:tcPr>
            <w:tcW w:w="24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144.72</w:t>
            </w:r>
          </w:p>
        </w:tc>
        <w:tc>
          <w:tcPr>
            <w:tcW w:w="13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2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9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106.34</w:t>
            </w:r>
          </w:p>
        </w:tc>
        <w:tc>
          <w:tcPr>
            <w:tcW w:w="24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106.34</w:t>
            </w:r>
          </w:p>
        </w:tc>
        <w:tc>
          <w:tcPr>
            <w:tcW w:w="13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24.23</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24.23</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82.11</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82.11</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38.39</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38.39</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38.39</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38.39</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53.78</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53.78</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3,572.41</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3,572.41</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污染防治</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2110301</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大气</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21110</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能源节约利用</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3,492.41</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3,492.41</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2111001</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能源节约利用</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3,492.41</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3,492.41</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174,847.00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174,847.00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2,938.00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2,938.00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2120101</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2120106</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工程建设管理</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2,597.00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2,597.00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21205</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城乡社区环境卫生</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2120501</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21206</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建设市场管理与监督</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2120601</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建设市场管理与监督</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6,743.00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6,743.00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2120802</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土地开发支出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2120803</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城市建设支出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1,042.00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1,042.00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2120804</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2,868.00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2,868.00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2120810</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棚户区改造支出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2,579.00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2,579.00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21216</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棚户区改造专项债券收入安排的支出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165,100.00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165,100.00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2121699</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其他棚户区改造专项债券收入安排的支出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165,100.00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165,100.00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87,276.00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87,276.00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保障性安居工程支出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87,276.00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87,276.00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2210103</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棚户区改造</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32,992.00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32,992.00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2210105</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农村危房改造</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10,853.00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10,853.00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2210199</w:t>
            </w:r>
          </w:p>
        </w:tc>
        <w:tc>
          <w:tcPr>
            <w:tcW w:w="4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其他保障性安居工程支出</w:t>
            </w:r>
          </w:p>
        </w:tc>
        <w:tc>
          <w:tcPr>
            <w:tcW w:w="1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43,431.00</w:t>
            </w:r>
          </w:p>
        </w:tc>
        <w:tc>
          <w:tcPr>
            <w:tcW w:w="2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43,431.00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124"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251"/>
        <w:gridCol w:w="252"/>
        <w:gridCol w:w="1361"/>
        <w:gridCol w:w="5730"/>
        <w:gridCol w:w="1770"/>
        <w:gridCol w:w="1830"/>
        <w:gridCol w:w="1322"/>
        <w:gridCol w:w="913"/>
        <w:gridCol w:w="750"/>
        <w:gridCol w:w="1249"/>
      </w:tblGrid>
      <w:tr>
        <w:tblPrEx>
          <w:shd w:val="clear" w:color="auto" w:fill="auto"/>
          <w:tblCellMar>
            <w:top w:w="0" w:type="dxa"/>
            <w:left w:w="0" w:type="dxa"/>
            <w:bottom w:w="0" w:type="dxa"/>
            <w:right w:w="0" w:type="dxa"/>
          </w:tblCellMar>
        </w:tblPrEx>
        <w:trPr>
          <w:trHeight w:val="390" w:hRule="atLeast"/>
        </w:trPr>
        <w:tc>
          <w:tcPr>
            <w:tcW w:w="15428" w:type="dxa"/>
            <w:gridSpan w:val="10"/>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25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7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2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4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7594"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部门：濮阳县住房和城乡规划建设局</w:t>
            </w:r>
          </w:p>
        </w:tc>
        <w:tc>
          <w:tcPr>
            <w:tcW w:w="17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2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99"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594"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7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83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22"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13"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75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249"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1864" w:type="dxa"/>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5730"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7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64"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30"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64"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30"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594" w:type="dxa"/>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7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3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22"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13"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5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49"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7594" w:type="dxa"/>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265,898.76</w:t>
            </w:r>
          </w:p>
        </w:tc>
        <w:tc>
          <w:tcPr>
            <w:tcW w:w="18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3,229.35</w:t>
            </w:r>
          </w:p>
        </w:tc>
        <w:tc>
          <w:tcPr>
            <w:tcW w:w="132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262,669.41</w:t>
            </w:r>
          </w:p>
        </w:tc>
        <w:tc>
          <w:tcPr>
            <w:tcW w:w="9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144.72</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144.72</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106.34</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106.34</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24.23</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24.23</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82.11</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82.11</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38.39</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38.39</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38.39</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38.39</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53.78</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53.78</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3,572.41</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3,492.41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污染防治</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2110301</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大气</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21110</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能源节约利用</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3,492.41</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3,492.41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2111001</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能源节约利用</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3,492.41</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3,492.41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174,847.00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2,946.00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171,901.00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2,938.00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2,938.00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2120101</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2120106</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工程建设管理</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2,597.00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2,597.00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21205</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城乡社区环境卫生</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2120501</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21206</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建设市场管理与监督</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2120601</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建设市场管理与监督</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6,743.00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6,743.00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2120802</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土地开发支出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2120803</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城市建设支出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1,042.00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1,042.00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2120804</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2,868.00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2,868.00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2120810</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棚户区改造支出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2,579.00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2,579.00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21216</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棚户区改造专项债券收入安排的支出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165,100.00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165,100.00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2121699</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其他棚户区改造专项债券收入安排的支出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165,100.00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165,100.00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87,276.00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87,276.00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保障性安居工程支出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87,276.00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87,276.00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2210103</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棚户区改造</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32,992.00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32,992.00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2210105</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农村危房改造</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10,853.00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10,853.00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6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2210199</w:t>
            </w:r>
          </w:p>
        </w:tc>
        <w:tc>
          <w:tcPr>
            <w:tcW w:w="5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其他保障性安居工程支出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43,431.00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43,431.00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428"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6"/>
        <w:tblW w:w="14790" w:type="dxa"/>
        <w:tblInd w:w="0" w:type="dxa"/>
        <w:shd w:val="clear" w:color="auto" w:fill="auto"/>
        <w:tblLayout w:type="autofit"/>
        <w:tblCellMar>
          <w:top w:w="0" w:type="dxa"/>
          <w:left w:w="0" w:type="dxa"/>
          <w:bottom w:w="0" w:type="dxa"/>
          <w:right w:w="0" w:type="dxa"/>
        </w:tblCellMar>
      </w:tblPr>
      <w:tblGrid>
        <w:gridCol w:w="3270"/>
        <w:gridCol w:w="570"/>
        <w:gridCol w:w="1790"/>
        <w:gridCol w:w="3660"/>
        <w:gridCol w:w="570"/>
        <w:gridCol w:w="1790"/>
        <w:gridCol w:w="1680"/>
        <w:gridCol w:w="1790"/>
      </w:tblGrid>
      <w:tr>
        <w:tblPrEx>
          <w:shd w:val="clear" w:color="auto" w:fill="auto"/>
          <w:tblCellMar>
            <w:top w:w="0" w:type="dxa"/>
            <w:left w:w="0" w:type="dxa"/>
            <w:bottom w:w="0" w:type="dxa"/>
            <w:right w:w="0" w:type="dxa"/>
          </w:tblCellMar>
        </w:tblPrEx>
        <w:trPr>
          <w:trHeight w:val="390" w:hRule="atLeast"/>
        </w:trPr>
        <w:tc>
          <w:tcPr>
            <w:tcW w:w="327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6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32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9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327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部门：濮阳县住房和城乡规划建设局</w:t>
            </w: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9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63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9490" w:type="dxa"/>
            <w:gridSpan w:val="5"/>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790"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94,055.76</w:t>
            </w: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171,843.00</w:t>
            </w: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144.72</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144.72</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3,572.41</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3,572.41</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174,847.00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3,004.00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171,843.00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87,276.00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87,276.00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265,898.76</w:t>
            </w: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265,898.76</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94,055.76</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171,843.00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265,898.76</w:t>
            </w:r>
          </w:p>
        </w:tc>
        <w:tc>
          <w:tcPr>
            <w:tcW w:w="36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265,898.76</w:t>
            </w:r>
          </w:p>
        </w:tc>
        <w:tc>
          <w:tcPr>
            <w:tcW w:w="16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94,055.76</w:t>
            </w:r>
          </w:p>
        </w:tc>
        <w:tc>
          <w:tcPr>
            <w:tcW w:w="17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171,843.00</w:t>
            </w:r>
          </w:p>
        </w:tc>
      </w:tr>
      <w:tr>
        <w:tblPrEx>
          <w:tblCellMar>
            <w:top w:w="0" w:type="dxa"/>
            <w:left w:w="0" w:type="dxa"/>
            <w:bottom w:w="0" w:type="dxa"/>
            <w:right w:w="0" w:type="dxa"/>
          </w:tblCellMar>
        </w:tblPrEx>
        <w:trPr>
          <w:trHeight w:val="554" w:hRule="atLeast"/>
        </w:trPr>
        <w:tc>
          <w:tcPr>
            <w:tcW w:w="1479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r>
        <w:br w:type="page"/>
      </w:r>
    </w:p>
    <w:p>
      <w:pPr>
        <w:jc w:val="both"/>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5428"/>
      </w:tblGrid>
      <w:tr>
        <w:tblPrEx>
          <w:shd w:val="clear" w:color="auto" w:fill="auto"/>
          <w:tblCellMar>
            <w:top w:w="0" w:type="dxa"/>
            <w:left w:w="0" w:type="dxa"/>
            <w:bottom w:w="0" w:type="dxa"/>
            <w:right w:w="0" w:type="dxa"/>
          </w:tblCellMar>
        </w:tblPrEx>
        <w:trPr>
          <w:trHeight w:val="390" w:hRule="atLeast"/>
        </w:trPr>
        <w:tc>
          <w:tcPr>
            <w:tcW w:w="15428" w:type="dxa"/>
            <w:tcBorders>
              <w:top w:val="nil"/>
              <w:left w:val="nil"/>
              <w:bottom w:val="nil"/>
              <w:right w:val="nil"/>
            </w:tcBorders>
            <w:shd w:val="clear" w:color="auto" w:fill="auto"/>
            <w:noWrap/>
            <w:tcMar>
              <w:top w:w="15" w:type="dxa"/>
              <w:left w:w="15" w:type="dxa"/>
              <w:right w:w="15" w:type="dxa"/>
            </w:tcMar>
            <w:vAlign w:val="bottom"/>
          </w:tcPr>
          <w:tbl>
            <w:tblPr>
              <w:tblStyle w:val="6"/>
              <w:tblW w:w="14584" w:type="dxa"/>
              <w:tblInd w:w="0" w:type="dxa"/>
              <w:shd w:val="clear" w:color="auto" w:fill="auto"/>
              <w:tblLayout w:type="fixed"/>
              <w:tblCellMar>
                <w:top w:w="0" w:type="dxa"/>
                <w:left w:w="0" w:type="dxa"/>
                <w:bottom w:w="0" w:type="dxa"/>
                <w:right w:w="0" w:type="dxa"/>
              </w:tblCellMar>
            </w:tblPr>
            <w:tblGrid>
              <w:gridCol w:w="56"/>
              <w:gridCol w:w="56"/>
              <w:gridCol w:w="1707"/>
              <w:gridCol w:w="4976"/>
              <w:gridCol w:w="2448"/>
              <w:gridCol w:w="2611"/>
              <w:gridCol w:w="2730"/>
            </w:tblGrid>
            <w:tr>
              <w:tblPrEx>
                <w:shd w:val="clear" w:color="auto" w:fill="auto"/>
                <w:tblCellMar>
                  <w:top w:w="0" w:type="dxa"/>
                  <w:left w:w="0" w:type="dxa"/>
                  <w:bottom w:w="0" w:type="dxa"/>
                  <w:right w:w="0" w:type="dxa"/>
                </w:tblCellMar>
              </w:tblPrEx>
              <w:trPr>
                <w:trHeight w:val="390" w:hRule="atLeast"/>
              </w:trPr>
              <w:tc>
                <w:tcPr>
                  <w:tcW w:w="14584" w:type="dxa"/>
                  <w:gridSpan w:val="7"/>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5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0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97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4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61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7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6795"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部门：濮阳县住房和城乡规划建设局</w:t>
                  </w:r>
                </w:p>
              </w:tc>
              <w:tc>
                <w:tcPr>
                  <w:tcW w:w="244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61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7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08" w:hRule="atLeast"/>
              </w:trPr>
              <w:tc>
                <w:tcPr>
                  <w:tcW w:w="6795"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789" w:type="dxa"/>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1819" w:type="dxa"/>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976"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448"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611"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73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1819"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76"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11"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3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19"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76"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11"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3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795" w:type="dxa"/>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4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61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6795" w:type="dxa"/>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94,055.76</w:t>
                  </w:r>
                </w:p>
              </w:tc>
              <w:tc>
                <w:tcPr>
                  <w:tcW w:w="261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3,229.35</w:t>
                  </w:r>
                </w:p>
              </w:tc>
              <w:tc>
                <w:tcPr>
                  <w:tcW w:w="2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90,826.41</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144.72</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144.72</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106.34</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106.34</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24.23</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24.23</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82.11</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82.11</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38.39</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38.39</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38.39</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38.39</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53.78</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53.78</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3,572.41</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3,492.41</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污染防治</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2110301</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大气</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21110</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能源节约利用</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3,492.41</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3,492.41</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2111001</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能源节约利用</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3,492.41</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3,492.41</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3,004.00</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2,946.00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2,938.00</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2,938.00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2120101</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101.00</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2120106</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工程建设管理</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2,597.00</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2,597.00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21205</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城乡社区环境卫生</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2120501</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21206</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建设市场管理与监督</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2120601</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建设市场管理与监督</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87,276.00</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87,276.00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保障性安居工程支出</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87,276.00</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87,276.00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2210103</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棚户区改造</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32,992.00</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32,992.00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2210105</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农村危房改造</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10,853.00</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10,853.00</w:t>
                  </w:r>
                </w:p>
              </w:tc>
            </w:tr>
            <w:tr>
              <w:tblPrEx>
                <w:tblCellMar>
                  <w:top w:w="0" w:type="dxa"/>
                  <w:left w:w="0" w:type="dxa"/>
                  <w:bottom w:w="0" w:type="dxa"/>
                  <w:right w:w="0" w:type="dxa"/>
                </w:tblCellMar>
              </w:tblPrEx>
              <w:trPr>
                <w:trHeight w:val="308" w:hRule="atLeast"/>
              </w:trPr>
              <w:tc>
                <w:tcPr>
                  <w:tcW w:w="181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2210199</w:t>
                  </w:r>
                </w:p>
              </w:tc>
              <w:tc>
                <w:tcPr>
                  <w:tcW w:w="49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其他保障性安居工程支出</w:t>
                  </w:r>
                </w:p>
              </w:tc>
              <w:tc>
                <w:tcPr>
                  <w:tcW w:w="2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43,431.00</w:t>
                  </w:r>
                </w:p>
              </w:tc>
              <w:tc>
                <w:tcPr>
                  <w:tcW w:w="2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43,431.00</w:t>
                  </w:r>
                </w:p>
              </w:tc>
            </w:tr>
            <w:tr>
              <w:tblPrEx>
                <w:tblCellMar>
                  <w:top w:w="0" w:type="dxa"/>
                  <w:left w:w="0" w:type="dxa"/>
                  <w:bottom w:w="0" w:type="dxa"/>
                  <w:right w:w="0" w:type="dxa"/>
                </w:tblCellMar>
              </w:tblPrEx>
              <w:trPr>
                <w:trHeight w:val="308" w:hRule="atLeast"/>
              </w:trPr>
              <w:tc>
                <w:tcPr>
                  <w:tcW w:w="14584"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br w:type="page"/>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4554" w:type="dxa"/>
        <w:tblInd w:w="0" w:type="dxa"/>
        <w:shd w:val="clear" w:color="auto" w:fill="auto"/>
        <w:tblLayout w:type="fixed"/>
        <w:tblCellMar>
          <w:top w:w="0" w:type="dxa"/>
          <w:left w:w="0" w:type="dxa"/>
          <w:bottom w:w="0" w:type="dxa"/>
          <w:right w:w="0" w:type="dxa"/>
        </w:tblCellMar>
      </w:tblPr>
      <w:tblGrid>
        <w:gridCol w:w="723"/>
        <w:gridCol w:w="2042"/>
        <w:gridCol w:w="1934"/>
        <w:gridCol w:w="720"/>
        <w:gridCol w:w="1951"/>
        <w:gridCol w:w="1649"/>
        <w:gridCol w:w="1140"/>
        <w:gridCol w:w="2895"/>
        <w:gridCol w:w="1500"/>
      </w:tblGrid>
      <w:tr>
        <w:tblPrEx>
          <w:shd w:val="clear" w:color="auto" w:fill="auto"/>
          <w:tblCellMar>
            <w:top w:w="0" w:type="dxa"/>
            <w:left w:w="0" w:type="dxa"/>
            <w:bottom w:w="0" w:type="dxa"/>
            <w:right w:w="0" w:type="dxa"/>
          </w:tblCellMar>
        </w:tblPrEx>
        <w:trPr>
          <w:trHeight w:val="390" w:hRule="atLeast"/>
        </w:trPr>
        <w:tc>
          <w:tcPr>
            <w:tcW w:w="14554" w:type="dxa"/>
            <w:gridSpan w:val="9"/>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462" w:hRule="atLeast"/>
        </w:trPr>
        <w:tc>
          <w:tcPr>
            <w:tcW w:w="72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4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3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5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4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89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0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4699"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部门：濮阳县住房和城乡规划建设局</w:t>
            </w:r>
          </w:p>
        </w:tc>
        <w:tc>
          <w:tcPr>
            <w:tcW w:w="7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5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4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395"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w:t>
            </w:r>
            <w:r>
              <w:rPr>
                <w:rFonts w:hint="eastAsia" w:ascii="宋体" w:hAnsi="宋体" w:cs="宋体"/>
                <w:i w:val="0"/>
                <w:color w:val="000000"/>
                <w:kern w:val="0"/>
                <w:sz w:val="18"/>
                <w:szCs w:val="18"/>
                <w:u w:val="none"/>
                <w:lang w:val="en-US" w:eastAsia="zh-CN" w:bidi="ar"/>
              </w:rPr>
              <w:t>万</w:t>
            </w:r>
            <w:r>
              <w:rPr>
                <w:rFonts w:hint="eastAsia" w:ascii="宋体" w:hAnsi="宋体" w:eastAsia="宋体" w:cs="宋体"/>
                <w:i w:val="0"/>
                <w:color w:val="000000"/>
                <w:kern w:val="0"/>
                <w:sz w:val="18"/>
                <w:szCs w:val="18"/>
                <w:u w:val="none"/>
                <w:lang w:val="en-US" w:eastAsia="zh-CN" w:bidi="ar"/>
              </w:rPr>
              <w:t>元</w:t>
            </w:r>
          </w:p>
        </w:tc>
      </w:tr>
      <w:tr>
        <w:tblPrEx>
          <w:tblCellMar>
            <w:top w:w="0" w:type="dxa"/>
            <w:left w:w="0" w:type="dxa"/>
            <w:bottom w:w="0" w:type="dxa"/>
            <w:right w:w="0" w:type="dxa"/>
          </w:tblCellMar>
        </w:tblPrEx>
        <w:trPr>
          <w:trHeight w:val="308" w:hRule="atLeast"/>
        </w:trPr>
        <w:tc>
          <w:tcPr>
            <w:tcW w:w="469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855" w:type="dxa"/>
            <w:gridSpan w:val="6"/>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723"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042"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34"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2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951"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49"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14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895"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723"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42"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34"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1"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9"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95"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2,568.88</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515.74</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1,660.26</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95.74</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144.72</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24.23</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38.39</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73.80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8.31</w:t>
            </w: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2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4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9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6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45.70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9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65" w:type="dxa"/>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9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2,713.61</w:t>
            </w:r>
          </w:p>
        </w:tc>
        <w:tc>
          <w:tcPr>
            <w:tcW w:w="835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5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515.74</w:t>
            </w:r>
          </w:p>
        </w:tc>
      </w:tr>
      <w:tr>
        <w:tblPrEx>
          <w:tblCellMar>
            <w:top w:w="0" w:type="dxa"/>
            <w:left w:w="0" w:type="dxa"/>
            <w:bottom w:w="0" w:type="dxa"/>
            <w:right w:w="0" w:type="dxa"/>
          </w:tblCellMar>
        </w:tblPrEx>
        <w:trPr>
          <w:trHeight w:val="308" w:hRule="atLeast"/>
        </w:trPr>
        <w:tc>
          <w:tcPr>
            <w:tcW w:w="14554"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6"/>
        <w:tblW w:w="14314" w:type="dxa"/>
        <w:tblInd w:w="0" w:type="dxa"/>
        <w:shd w:val="clear" w:color="auto" w:fill="auto"/>
        <w:tblLayout w:type="fixed"/>
        <w:tblCellMar>
          <w:top w:w="0" w:type="dxa"/>
          <w:left w:w="0" w:type="dxa"/>
          <w:bottom w:w="0" w:type="dxa"/>
          <w:right w:w="0" w:type="dxa"/>
        </w:tblCellMar>
      </w:tblPr>
      <w:tblGrid>
        <w:gridCol w:w="3230"/>
        <w:gridCol w:w="1214"/>
        <w:gridCol w:w="825"/>
        <w:gridCol w:w="825"/>
        <w:gridCol w:w="900"/>
        <w:gridCol w:w="870"/>
        <w:gridCol w:w="1005"/>
        <w:gridCol w:w="1035"/>
        <w:gridCol w:w="1110"/>
        <w:gridCol w:w="870"/>
        <w:gridCol w:w="1140"/>
        <w:gridCol w:w="1290"/>
      </w:tblGrid>
      <w:tr>
        <w:tblPrEx>
          <w:shd w:val="clear" w:color="auto" w:fill="auto"/>
          <w:tblCellMar>
            <w:top w:w="0" w:type="dxa"/>
            <w:left w:w="0" w:type="dxa"/>
            <w:bottom w:w="0" w:type="dxa"/>
            <w:right w:w="0" w:type="dxa"/>
          </w:tblCellMar>
        </w:tblPrEx>
        <w:trPr>
          <w:trHeight w:val="540" w:hRule="atLeast"/>
        </w:trPr>
        <w:tc>
          <w:tcPr>
            <w:tcW w:w="14314" w:type="dxa"/>
            <w:gridSpan w:val="1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32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1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9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32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部门：濮阳县住房和城乡规划建设局</w:t>
            </w:r>
          </w:p>
        </w:tc>
        <w:tc>
          <w:tcPr>
            <w:tcW w:w="121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30"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90" w:hRule="atLeast"/>
        </w:trPr>
        <w:tc>
          <w:tcPr>
            <w:tcW w:w="7864"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450" w:type="dxa"/>
            <w:gridSpan w:val="6"/>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3230"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14"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550" w:type="dxa"/>
            <w:gridSpan w:val="3"/>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87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005"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35"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120" w:type="dxa"/>
            <w:gridSpan w:val="3"/>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9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3230"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4"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2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90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87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7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4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9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14"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0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7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0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3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1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7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4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9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0.30</w:t>
            </w:r>
          </w:p>
        </w:tc>
        <w:tc>
          <w:tcPr>
            <w:tcW w:w="12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0.30</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0.30</w:t>
            </w:r>
          </w:p>
        </w:tc>
        <w:tc>
          <w:tcPr>
            <w:tcW w:w="8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0.30</w:t>
            </w:r>
          </w:p>
        </w:tc>
        <w:tc>
          <w:tcPr>
            <w:tcW w:w="103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0.30</w:t>
            </w:r>
          </w:p>
        </w:tc>
        <w:tc>
          <w:tcPr>
            <w:tcW w:w="8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0.30</w:t>
            </w:r>
          </w:p>
        </w:tc>
        <w:tc>
          <w:tcPr>
            <w:tcW w:w="12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trPr>
        <w:tc>
          <w:tcPr>
            <w:tcW w:w="14314"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4794" w:type="dxa"/>
        <w:tblInd w:w="0" w:type="dxa"/>
        <w:shd w:val="clear" w:color="auto" w:fill="auto"/>
        <w:tblLayout w:type="fixed"/>
        <w:tblCellMar>
          <w:top w:w="0" w:type="dxa"/>
          <w:left w:w="0" w:type="dxa"/>
          <w:bottom w:w="0" w:type="dxa"/>
          <w:right w:w="0" w:type="dxa"/>
        </w:tblCellMar>
      </w:tblPr>
      <w:tblGrid>
        <w:gridCol w:w="248"/>
        <w:gridCol w:w="248"/>
        <w:gridCol w:w="634"/>
        <w:gridCol w:w="5159"/>
        <w:gridCol w:w="931"/>
        <w:gridCol w:w="2204"/>
        <w:gridCol w:w="1830"/>
        <w:gridCol w:w="825"/>
        <w:gridCol w:w="2100"/>
        <w:gridCol w:w="615"/>
      </w:tblGrid>
      <w:tr>
        <w:tblPrEx>
          <w:shd w:val="clear" w:color="auto" w:fill="auto"/>
          <w:tblCellMar>
            <w:top w:w="0" w:type="dxa"/>
            <w:left w:w="0" w:type="dxa"/>
            <w:bottom w:w="0" w:type="dxa"/>
            <w:right w:w="0" w:type="dxa"/>
          </w:tblCellMar>
        </w:tblPrEx>
        <w:trPr>
          <w:trHeight w:val="390" w:hRule="atLeast"/>
        </w:trPr>
        <w:tc>
          <w:tcPr>
            <w:tcW w:w="14794" w:type="dxa"/>
            <w:gridSpan w:val="10"/>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24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3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15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3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715"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6289"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部门：濮阳县住房和城乡规划建设局</w:t>
            </w:r>
          </w:p>
        </w:tc>
        <w:tc>
          <w:tcPr>
            <w:tcW w:w="93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715"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08" w:hRule="atLeast"/>
        </w:trPr>
        <w:tc>
          <w:tcPr>
            <w:tcW w:w="628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31"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204"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755" w:type="dxa"/>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615"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1130" w:type="dxa"/>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5159"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31"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04"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25"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10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61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30"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9"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1"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04"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30"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9"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1"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04"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289" w:type="dxa"/>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1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6289" w:type="dxa"/>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220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171,843.00</w:t>
            </w:r>
          </w:p>
        </w:tc>
        <w:tc>
          <w:tcPr>
            <w:tcW w:w="18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171,843.00</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210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171,843.00</w:t>
            </w:r>
          </w:p>
        </w:tc>
        <w:tc>
          <w:tcPr>
            <w:tcW w:w="6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5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171,843.00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171,843.00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171,843.00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5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6,743.00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6,743.00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6,743.00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2120802</w:t>
            </w:r>
          </w:p>
        </w:tc>
        <w:tc>
          <w:tcPr>
            <w:tcW w:w="5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土地开发支出</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2120803</w:t>
            </w:r>
          </w:p>
        </w:tc>
        <w:tc>
          <w:tcPr>
            <w:tcW w:w="5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城市建设支出</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1,042.00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1,042.00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1,042.00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2120804</w:t>
            </w:r>
          </w:p>
        </w:tc>
        <w:tc>
          <w:tcPr>
            <w:tcW w:w="5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2,868.00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2,868.00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2,868.00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2120810</w:t>
            </w:r>
          </w:p>
        </w:tc>
        <w:tc>
          <w:tcPr>
            <w:tcW w:w="5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棚户区改造支出</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2,579.00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2,579.00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2,579.00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21216</w:t>
            </w:r>
          </w:p>
        </w:tc>
        <w:tc>
          <w:tcPr>
            <w:tcW w:w="5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棚户区改造专项债券收入安排的支出</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165,100.00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165,100.00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165,100.00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2121699</w:t>
            </w:r>
          </w:p>
        </w:tc>
        <w:tc>
          <w:tcPr>
            <w:tcW w:w="5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其他棚户区改造专项债券收入安排的支出</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165,100.00</w:t>
            </w: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165,100.00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165,100.00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794"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
      <w:pPr>
        <w:ind w:firstLine="640" w:firstLineChars="200"/>
        <w:jc w:val="both"/>
        <w:rPr>
          <w:rFonts w:hint="eastAsia" w:ascii="仿宋_GB2312" w:hAnsi="仿宋_GB2312" w:eastAsia="仿宋_GB2312" w:cs="仿宋_GB2312"/>
          <w:color w:val="auto"/>
          <w:sz w:val="32"/>
          <w:szCs w:val="32"/>
          <w:highlight w:val="yellow"/>
          <w:lang w:val="en-US" w:eastAsia="zh-CN"/>
        </w:rPr>
        <w:sectPr>
          <w:pgSz w:w="16838" w:h="11906" w:orient="landscape"/>
          <w:pgMar w:top="720" w:right="720" w:bottom="720" w:left="72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2019年度收、支总计均为265898.76万元。与上年度相比，收、支总计各增加97968.01万元，增长36.8%。主要原因是人员增资，社保缴费基数增加、棚改资金和危房改造资金增加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val="en-US" w:eastAsia="zh-CN"/>
        </w:rPr>
        <w:t>2019年度收入合计265898.76万元，其中：财政拨款收入265898.76万元，占100%。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2019年度支出合计265898.76万元，其中：基本支出3229.35万元，占12%；项目支出262669.41万元，占88%。</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pStyle w:val="3"/>
        <w:spacing w:before="214" w:line="364" w:lineRule="auto"/>
        <w:ind w:left="336" w:leftChars="160" w:right="596" w:firstLine="640" w:firstLineChars="200"/>
        <w:rPr>
          <w:rFonts w:hint="eastAsia" w:eastAsia="宋体"/>
          <w:lang w:eastAsia="zh-CN"/>
        </w:rPr>
      </w:pPr>
      <w:r>
        <w:rPr>
          <w:rFonts w:hint="eastAsia" w:ascii="仿宋_GB2312" w:hAnsi="仿宋_GB2312" w:eastAsia="仿宋_GB2312" w:cs="仿宋_GB2312"/>
          <w:color w:val="auto"/>
          <w:sz w:val="32"/>
          <w:szCs w:val="32"/>
          <w:highlight w:val="none"/>
          <w:lang w:val="en-US" w:eastAsia="zh-CN"/>
        </w:rPr>
        <w:t>2019年度财政拨款收、支总计均为265898.76万元。与上年度相比，财政拨款收、支总计各增加97968.02万元，增长36.8%。</w:t>
      </w:r>
      <w:r>
        <w:rPr>
          <w:rFonts w:hint="eastAsia" w:ascii="仿宋" w:hAnsi="仿宋" w:eastAsia="仿宋" w:cs="仿宋"/>
        </w:rPr>
        <w:t>主要原因是机构改革</w:t>
      </w:r>
      <w:r>
        <w:rPr>
          <w:rFonts w:hint="eastAsia" w:ascii="仿宋" w:hAnsi="仿宋" w:eastAsia="仿宋" w:cs="仿宋"/>
          <w:spacing w:val="-3"/>
        </w:rPr>
        <w:t>，</w:t>
      </w:r>
      <w:r>
        <w:rPr>
          <w:rFonts w:hint="eastAsia" w:ascii="仿宋" w:hAnsi="仿宋" w:eastAsia="仿宋" w:cs="仿宋"/>
        </w:rPr>
        <w:t>人员增资人员增加</w:t>
      </w:r>
      <w:r>
        <w:rPr>
          <w:rFonts w:hint="eastAsia" w:ascii="仿宋" w:hAnsi="仿宋" w:eastAsia="仿宋" w:cs="仿宋"/>
          <w:spacing w:val="-5"/>
        </w:rPr>
        <w:t>，</w:t>
      </w:r>
      <w:r>
        <w:rPr>
          <w:rFonts w:hint="eastAsia" w:ascii="仿宋" w:hAnsi="仿宋" w:eastAsia="仿宋" w:cs="仿宋"/>
        </w:rPr>
        <w:t>人员经费随之增长</w:t>
      </w:r>
      <w:r>
        <w:rPr>
          <w:rFonts w:hint="eastAsia" w:ascii="仿宋" w:hAnsi="仿宋" w:eastAsia="仿宋" w:cs="仿宋"/>
          <w:lang w:eastAsia="zh-CN"/>
        </w:rPr>
        <w:t>，</w:t>
      </w:r>
      <w:r>
        <w:rPr>
          <w:rFonts w:hint="eastAsia" w:ascii="仿宋" w:hAnsi="仿宋" w:eastAsia="仿宋" w:cs="仿宋"/>
        </w:rPr>
        <w:t>我县加大了拆迁力度拆迁</w:t>
      </w:r>
      <w:r>
        <w:rPr>
          <w:rFonts w:hint="eastAsia" w:ascii="仿宋" w:hAnsi="仿宋" w:eastAsia="仿宋" w:cs="仿宋"/>
          <w:lang w:eastAsia="zh-CN"/>
        </w:rPr>
        <w:t>补偿和住房保障费用增加。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2019年度一般公共预算财政拨款支出265898.76万元，占本年支出合计的100%。与上年度相比，一般公共预算财政拨款支出增加97968.02万元，增长36.8%。</w:t>
      </w:r>
      <w:r>
        <w:rPr>
          <w:rFonts w:hint="eastAsia" w:ascii="仿宋" w:hAnsi="仿宋" w:eastAsia="仿宋" w:cs="仿宋"/>
          <w:sz w:val="32"/>
          <w:szCs w:val="32"/>
        </w:rPr>
        <w:t>主要原因是机构改革</w:t>
      </w:r>
      <w:r>
        <w:rPr>
          <w:rFonts w:hint="eastAsia" w:ascii="仿宋" w:hAnsi="仿宋" w:eastAsia="仿宋" w:cs="仿宋"/>
          <w:spacing w:val="-3"/>
          <w:sz w:val="32"/>
          <w:szCs w:val="32"/>
        </w:rPr>
        <w:t>，</w:t>
      </w:r>
      <w:r>
        <w:rPr>
          <w:rFonts w:hint="eastAsia" w:ascii="仿宋" w:hAnsi="仿宋" w:eastAsia="仿宋" w:cs="仿宋"/>
          <w:sz w:val="32"/>
          <w:szCs w:val="32"/>
        </w:rPr>
        <w:t>人员增资人员增加</w:t>
      </w:r>
      <w:r>
        <w:rPr>
          <w:rFonts w:hint="eastAsia" w:ascii="仿宋" w:hAnsi="仿宋" w:eastAsia="仿宋" w:cs="仿宋"/>
          <w:spacing w:val="-5"/>
          <w:sz w:val="32"/>
          <w:szCs w:val="32"/>
        </w:rPr>
        <w:t>，</w:t>
      </w:r>
      <w:r>
        <w:rPr>
          <w:rFonts w:hint="eastAsia" w:ascii="仿宋" w:hAnsi="仿宋" w:eastAsia="仿宋" w:cs="仿宋"/>
          <w:sz w:val="32"/>
          <w:szCs w:val="32"/>
        </w:rPr>
        <w:t>人员经费随之增长</w:t>
      </w:r>
      <w:r>
        <w:rPr>
          <w:rFonts w:hint="eastAsia" w:ascii="仿宋" w:hAnsi="仿宋" w:eastAsia="仿宋" w:cs="仿宋"/>
          <w:sz w:val="32"/>
          <w:szCs w:val="32"/>
          <w:lang w:eastAsia="zh-CN"/>
        </w:rPr>
        <w:t>，</w:t>
      </w:r>
      <w:r>
        <w:rPr>
          <w:rFonts w:hint="eastAsia" w:ascii="仿宋" w:hAnsi="仿宋" w:eastAsia="仿宋" w:cs="仿宋"/>
          <w:sz w:val="32"/>
          <w:szCs w:val="32"/>
        </w:rPr>
        <w:t>我县加大了拆迁力度拆迁</w:t>
      </w:r>
      <w:r>
        <w:rPr>
          <w:rFonts w:hint="eastAsia" w:ascii="仿宋" w:hAnsi="仿宋" w:eastAsia="仿宋" w:cs="仿宋"/>
          <w:sz w:val="32"/>
          <w:szCs w:val="32"/>
          <w:lang w:eastAsia="zh-CN"/>
        </w:rPr>
        <w:t>补偿和住房保障费用增加。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265898.76万元，主要用于以下方面：社会保障和就业支出144.72万元，占0.5%；医疗卫生与计划生育支出58.63万元，占0.2%，节能环保支出3572.41万元，占1.3%，城乡社区支出174847万元，占65%，住房和保障支出87276万元，占33%。</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2019年度一般公共预算财政拨款支出年初预算为265898.76万元，支出决算为265898.76万元，完成年初预算的100%。其中：</w:t>
      </w:r>
    </w:p>
    <w:p>
      <w:pPr>
        <w:numPr>
          <w:ilvl w:val="0"/>
          <w:numId w:val="0"/>
        </w:numPr>
        <w:adjustRightInd w:val="0"/>
        <w:snapToGrid w:val="0"/>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社会保障和就业支出</w:t>
      </w:r>
      <w:r>
        <w:rPr>
          <w:rFonts w:hint="eastAsia" w:ascii="仿宋" w:hAnsi="仿宋" w:eastAsia="仿宋" w:cs="仿宋"/>
          <w:b/>
          <w:bCs/>
          <w:sz w:val="32"/>
          <w:szCs w:val="32"/>
        </w:rPr>
        <w:t>（类）行政事业单位离退休（款）</w:t>
      </w:r>
      <w:r>
        <w:rPr>
          <w:rFonts w:hint="eastAsia" w:ascii="仿宋" w:hAnsi="仿宋" w:eastAsia="仿宋" w:cs="仿宋"/>
          <w:b/>
          <w:bCs/>
          <w:sz w:val="32"/>
          <w:szCs w:val="32"/>
          <w:lang w:eastAsia="zh-CN"/>
        </w:rPr>
        <w:t>行政事业离退休</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106.34万元，支出决算数为106.3369万元，完成年初预算的100%。</w:t>
      </w:r>
    </w:p>
    <w:p>
      <w:pPr>
        <w:numPr>
          <w:ilvl w:val="0"/>
          <w:numId w:val="0"/>
        </w:numPr>
        <w:adjustRightInd w:val="0"/>
        <w:snapToGrid w:val="0"/>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社会保障和就业支出</w:t>
      </w:r>
      <w:r>
        <w:rPr>
          <w:rFonts w:hint="eastAsia" w:ascii="仿宋" w:hAnsi="仿宋" w:eastAsia="仿宋" w:cs="仿宋"/>
          <w:b/>
          <w:bCs/>
          <w:sz w:val="32"/>
          <w:szCs w:val="32"/>
        </w:rPr>
        <w:t>（类）抚恤（款）</w:t>
      </w:r>
      <w:r>
        <w:rPr>
          <w:rFonts w:hint="eastAsia" w:ascii="仿宋" w:hAnsi="仿宋" w:eastAsia="仿宋" w:cs="仿宋"/>
          <w:b/>
          <w:bCs/>
          <w:sz w:val="32"/>
          <w:szCs w:val="32"/>
          <w:lang w:eastAsia="zh-CN"/>
        </w:rPr>
        <w:t>死亡抚恤</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38.3878万元，支出决算数为38.39万元，完成年初预算的100%。</w:t>
      </w:r>
    </w:p>
    <w:p>
      <w:pPr>
        <w:numPr>
          <w:ilvl w:val="0"/>
          <w:numId w:val="0"/>
        </w:numPr>
        <w:adjustRightInd w:val="0"/>
        <w:snapToGrid w:val="0"/>
        <w:spacing w:line="360" w:lineRule="auto"/>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医疗卫生与计划生育支出</w:t>
      </w:r>
      <w:r>
        <w:rPr>
          <w:rFonts w:hint="eastAsia" w:ascii="仿宋" w:hAnsi="仿宋" w:eastAsia="仿宋" w:cs="仿宋"/>
          <w:b/>
          <w:bCs/>
          <w:sz w:val="32"/>
          <w:szCs w:val="32"/>
        </w:rPr>
        <w:t>（类）行政事业单位医疗（款</w:t>
      </w:r>
      <w:r>
        <w:rPr>
          <w:rFonts w:hint="eastAsia" w:ascii="仿宋" w:hAnsi="仿宋" w:eastAsia="仿宋" w:cs="仿宋"/>
          <w:b/>
          <w:bCs/>
          <w:sz w:val="32"/>
          <w:szCs w:val="32"/>
          <w:lang w:eastAsia="zh-CN"/>
        </w:rPr>
        <w:t>） 事业单位医疗</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58.62万元，支出决算数为58.62万元，完成年初预算的100%。</w:t>
      </w:r>
    </w:p>
    <w:p>
      <w:pPr>
        <w:numPr>
          <w:ilvl w:val="0"/>
          <w:numId w:val="0"/>
        </w:numPr>
        <w:adjustRightInd w:val="0"/>
        <w:snapToGrid w:val="0"/>
        <w:spacing w:line="360" w:lineRule="auto"/>
        <w:ind w:leftChars="200" w:firstLine="321" w:firstLineChars="100"/>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一般公共服务（类）</w:t>
      </w:r>
      <w:r>
        <w:rPr>
          <w:rFonts w:hint="eastAsia" w:ascii="仿宋" w:hAnsi="仿宋" w:eastAsia="仿宋" w:cs="仿宋"/>
          <w:b/>
          <w:bCs/>
          <w:sz w:val="32"/>
          <w:szCs w:val="32"/>
          <w:lang w:eastAsia="zh-CN"/>
        </w:rPr>
        <w:t>城乡社区支出</w:t>
      </w:r>
      <w:r>
        <w:rPr>
          <w:rFonts w:hint="eastAsia" w:ascii="仿宋" w:hAnsi="仿宋" w:eastAsia="仿宋" w:cs="仿宋"/>
          <w:b/>
          <w:bCs/>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174847</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174847</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numPr>
          <w:ilvl w:val="0"/>
          <w:numId w:val="0"/>
        </w:numPr>
        <w:adjustRightInd w:val="0"/>
        <w:snapToGrid w:val="0"/>
        <w:spacing w:line="360" w:lineRule="auto"/>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一般公共服务（类）</w:t>
      </w:r>
      <w:r>
        <w:rPr>
          <w:rFonts w:hint="eastAsia" w:ascii="仿宋" w:hAnsi="仿宋" w:eastAsia="仿宋" w:cs="仿宋"/>
          <w:b/>
          <w:bCs/>
          <w:sz w:val="32"/>
          <w:szCs w:val="32"/>
          <w:lang w:eastAsia="zh-CN"/>
        </w:rPr>
        <w:t>住房保障</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87276万元，支出决算数为87276万</w:t>
      </w:r>
      <w:bookmarkStart w:id="1" w:name="_GoBack"/>
      <w:bookmarkEnd w:id="1"/>
      <w:r>
        <w:rPr>
          <w:rFonts w:hint="eastAsia" w:ascii="仿宋" w:hAnsi="仿宋" w:eastAsia="仿宋" w:cs="仿宋"/>
          <w:b w:val="0"/>
          <w:bCs w:val="0"/>
          <w:sz w:val="32"/>
          <w:szCs w:val="32"/>
          <w:lang w:val="en-US" w:eastAsia="zh-CN"/>
        </w:rPr>
        <w:t>元，完成年初预算的100%。</w:t>
      </w:r>
    </w:p>
    <w:p>
      <w:pPr>
        <w:numPr>
          <w:ilvl w:val="0"/>
          <w:numId w:val="0"/>
        </w:numPr>
        <w:adjustRightInd w:val="0"/>
        <w:snapToGrid w:val="0"/>
        <w:spacing w:line="360" w:lineRule="auto"/>
        <w:ind w:firstLine="643"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lang w:eastAsia="zh-CN"/>
        </w:rPr>
        <w:t>节能环保</w:t>
      </w:r>
      <w:r>
        <w:rPr>
          <w:rFonts w:hint="eastAsia" w:ascii="仿宋" w:hAnsi="仿宋" w:eastAsia="仿宋" w:cs="仿宋"/>
          <w:b/>
          <w:bCs/>
          <w:sz w:val="32"/>
          <w:szCs w:val="32"/>
        </w:rPr>
        <w:t>（类）</w:t>
      </w:r>
      <w:r>
        <w:rPr>
          <w:rFonts w:hint="eastAsia" w:ascii="仿宋" w:hAnsi="仿宋" w:eastAsia="仿宋" w:cs="仿宋"/>
          <w:b/>
          <w:bCs/>
          <w:sz w:val="32"/>
          <w:szCs w:val="32"/>
          <w:lang w:eastAsia="zh-CN"/>
        </w:rPr>
        <w:t>能源节约利用</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3572.41万元，支出决算数为3572.41万元，完成年初预算的100%。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pStyle w:val="3"/>
        <w:spacing w:before="209" w:line="364" w:lineRule="auto"/>
        <w:ind w:right="439"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2019年度一般公共预算财政拨款基本支出3229.35万元。与上年度相比，一般公共预算财政拨款基本支出增加183.74万元，增长55%。主要原因是人员增资，社保缴费基数增加。其中：</w:t>
      </w:r>
      <w:r>
        <w:rPr>
          <w:rFonts w:hint="eastAsia" w:ascii="仿宋_GB2312" w:hAnsi="仿宋_GB2312" w:eastAsia="仿宋_GB2312" w:cs="仿宋_GB2312"/>
          <w:b w:val="0"/>
          <w:bCs w:val="0"/>
          <w:color w:val="auto"/>
          <w:sz w:val="32"/>
          <w:szCs w:val="32"/>
          <w:highlight w:val="none"/>
          <w:lang w:val="en-US" w:eastAsia="zh-CN"/>
        </w:rPr>
        <w:t>人员经费</w:t>
      </w:r>
      <w:r>
        <w:rPr>
          <w:rFonts w:hint="eastAsia" w:ascii="仿宋_GB2312" w:hAnsi="仿宋_GB2312" w:eastAsia="仿宋_GB2312" w:cs="仿宋_GB2312"/>
          <w:color w:val="auto"/>
          <w:sz w:val="32"/>
          <w:szCs w:val="32"/>
          <w:highlight w:val="none"/>
          <w:lang w:val="en-US" w:eastAsia="zh-CN"/>
        </w:rPr>
        <w:t>2713.61</w:t>
      </w:r>
      <w:r>
        <w:rPr>
          <w:rFonts w:hint="eastAsia" w:ascii="仿宋_GB2312" w:hAnsi="仿宋_GB2312" w:eastAsia="仿宋_GB2312" w:cs="仿宋_GB2312"/>
          <w:b w:val="0"/>
          <w:bCs w:val="0"/>
          <w:color w:val="auto"/>
          <w:sz w:val="32"/>
          <w:szCs w:val="32"/>
          <w:highlight w:val="none"/>
          <w:lang w:val="en-US" w:eastAsia="zh-CN"/>
        </w:rPr>
        <w:t>万元，主要包括：基本工资、津贴补贴、绩效工资、机关事业单位基本养老保险缴费、其他社会保障缴费</w:t>
      </w:r>
      <w:r>
        <w:rPr>
          <w:rFonts w:hint="eastAsia" w:ascii="仿宋_GB2312" w:hAnsi="仿宋_GB2312" w:eastAsia="仿宋_GB2312" w:cs="仿宋_GB2312"/>
          <w:color w:val="auto"/>
          <w:sz w:val="32"/>
          <w:szCs w:val="32"/>
          <w:highlight w:val="none"/>
          <w:lang w:val="en-US" w:eastAsia="zh-CN"/>
        </w:rPr>
        <w:t>；公用经费515.74万元，主要包括：</w:t>
      </w:r>
      <w:r>
        <w:rPr>
          <w:rFonts w:hint="eastAsia" w:ascii="仿宋" w:hAnsi="仿宋" w:eastAsia="仿宋" w:cs="仿宋"/>
          <w:spacing w:val="-12"/>
          <w:sz w:val="32"/>
          <w:szCs w:val="32"/>
        </w:rPr>
        <w:t>办公费、印刷费、水费、电费、邮电费、</w:t>
      </w:r>
      <w:r>
        <w:rPr>
          <w:rFonts w:hint="eastAsia" w:ascii="仿宋" w:hAnsi="仿宋" w:eastAsia="仿宋" w:cs="仿宋"/>
          <w:spacing w:val="-6"/>
          <w:sz w:val="32"/>
          <w:szCs w:val="32"/>
        </w:rPr>
        <w:t>取暖费、物业管理费、差旅费、</w:t>
      </w:r>
      <w:r>
        <w:rPr>
          <w:rFonts w:hint="eastAsia" w:ascii="仿宋" w:hAnsi="仿宋" w:eastAsia="仿宋" w:cs="仿宋"/>
          <w:spacing w:val="-1"/>
          <w:sz w:val="32"/>
          <w:szCs w:val="32"/>
        </w:rPr>
        <w:t>维修</w:t>
      </w:r>
      <w:r>
        <w:rPr>
          <w:rFonts w:hint="eastAsia" w:ascii="仿宋" w:hAnsi="仿宋" w:eastAsia="仿宋" w:cs="仿宋"/>
          <w:w w:val="95"/>
          <w:sz w:val="32"/>
          <w:szCs w:val="32"/>
        </w:rPr>
        <w:t>（护</w:t>
      </w:r>
      <w:r>
        <w:rPr>
          <w:rFonts w:hint="eastAsia" w:ascii="仿宋" w:hAnsi="仿宋" w:eastAsia="仿宋" w:cs="仿宋"/>
          <w:spacing w:val="-3"/>
          <w:w w:val="95"/>
          <w:sz w:val="32"/>
          <w:szCs w:val="32"/>
        </w:rPr>
        <w:t>）</w:t>
      </w:r>
      <w:r>
        <w:rPr>
          <w:rFonts w:hint="eastAsia" w:ascii="仿宋" w:hAnsi="仿宋" w:eastAsia="仿宋" w:cs="仿宋"/>
          <w:spacing w:val="-2"/>
          <w:w w:val="95"/>
          <w:sz w:val="32"/>
          <w:szCs w:val="32"/>
        </w:rPr>
        <w:t>费、培训费、</w:t>
      </w:r>
      <w:r>
        <w:rPr>
          <w:rFonts w:hint="eastAsia" w:ascii="仿宋" w:hAnsi="仿宋" w:eastAsia="仿宋" w:cs="仿宋"/>
          <w:spacing w:val="-3"/>
          <w:sz w:val="32"/>
          <w:szCs w:val="32"/>
        </w:rPr>
        <w:t>委托业务费、工会经费、公务用车</w:t>
      </w:r>
      <w:r>
        <w:rPr>
          <w:rFonts w:hint="eastAsia" w:ascii="仿宋" w:hAnsi="仿宋" w:eastAsia="仿宋" w:cs="仿宋"/>
          <w:spacing w:val="-5"/>
          <w:sz w:val="32"/>
          <w:szCs w:val="32"/>
        </w:rPr>
        <w:t>运行维护费、其他交通费用、其他商品和服务</w:t>
      </w:r>
      <w:r>
        <w:rPr>
          <w:rFonts w:hint="eastAsia" w:ascii="仿宋" w:hAnsi="仿宋" w:eastAsia="仿宋" w:cs="仿宋"/>
          <w:spacing w:val="-5"/>
          <w:sz w:val="32"/>
          <w:szCs w:val="32"/>
          <w:lang w:eastAsia="zh-CN"/>
        </w:rPr>
        <w:t>、</w:t>
      </w:r>
      <w:r>
        <w:rPr>
          <w:rFonts w:hint="eastAsia" w:ascii="仿宋" w:hAnsi="仿宋" w:eastAsia="仿宋" w:cs="仿宋"/>
          <w:spacing w:val="-5"/>
          <w:sz w:val="32"/>
          <w:szCs w:val="32"/>
        </w:rPr>
        <w:t>其他资本性支出。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2019年度“三公”经费财政拨款支出预算为0.3万元，支出决算为0.3万元，完成预算的100%。。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2019年度“三公”经费财政拨款支出决算中，因公出国（境）费支出决算0万元，完成预算的0%；公务用车购置及运行费支出决算0.3万元，完成预算的100%；公务接待费支出决算0万元，完成预算的0%，占0%。</w:t>
      </w:r>
    </w:p>
    <w:p>
      <w:pPr>
        <w:keepNext w:val="0"/>
        <w:keepLines w:val="0"/>
        <w:pageBreakBefore w:val="0"/>
        <w:widowControl/>
        <w:numPr>
          <w:ilvl w:val="0"/>
          <w:numId w:val="3"/>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年初预算为0万元，支出决算为0万元，完成年初预算的100%。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初预算为0.3万元，支出决算为0.3万元，完成年初预算的100%。其中：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0.3万元。2019年期末，部门开支财政拨款的公务用车保有量为1辆。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pStyle w:val="3"/>
        <w:spacing w:line="408" w:lineRule="exact"/>
        <w:ind w:firstLine="960" w:firstLineChars="300"/>
        <w:rPr>
          <w:rFonts w:hint="eastAsia" w:ascii="黑体" w:eastAsia="黑体"/>
        </w:rPr>
      </w:pPr>
      <w:r>
        <w:rPr>
          <w:rFonts w:hint="eastAsia" w:ascii="黑体" w:eastAsia="黑体"/>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根据财政预算管理要求，濮阳县住建局加强在资金使用过程中管理，对2019年度一般公共预算项目支出全面开展绩效自评。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濮阳县住建局充分认识项目绩效自评的重要性，自评覆盖率达 到 100%，所有项目基本达到预期目标，群众满意度高。九、政府性基金预算财政拨款支出决算情况说明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widowControl/>
        <w:suppressLineNumbers w:val="0"/>
        <w:ind w:firstLine="620" w:firstLineChars="200"/>
        <w:jc w:val="left"/>
        <w:rPr>
          <w:rFonts w:hint="eastAsia" w:ascii="仿宋" w:hAnsi="仿宋" w:eastAsia="仿宋" w:cs="仿宋"/>
          <w:color w:val="auto"/>
          <w:sz w:val="32"/>
          <w:szCs w:val="32"/>
          <w:highlight w:val="none"/>
          <w:lang w:val="en-US" w:eastAsia="zh-CN"/>
        </w:rPr>
      </w:pPr>
      <w:r>
        <w:rPr>
          <w:rFonts w:hint="eastAsia" w:ascii="仿宋_GB2312" w:hAnsi="仿宋_GB2312" w:eastAsia="仿宋_GB2312" w:cs="仿宋_GB2312"/>
          <w:color w:val="000000"/>
          <w:kern w:val="0"/>
          <w:sz w:val="31"/>
          <w:szCs w:val="31"/>
          <w:lang w:val="en-US" w:eastAsia="zh-CN" w:bidi="ar"/>
        </w:rPr>
        <w:t>我部门没有重点绩效评价项目。</w:t>
      </w:r>
    </w:p>
    <w:p>
      <w:pPr>
        <w:widowControl/>
        <w:numPr>
          <w:ilvl w:val="0"/>
          <w:numId w:val="4"/>
        </w:numPr>
        <w:spacing w:beforeLines="0" w:afterLines="0" w:line="59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政府性基金预算财政拨款支出决算情况说明</w:t>
      </w:r>
    </w:p>
    <w:p>
      <w:pPr>
        <w:widowControl/>
        <w:numPr>
          <w:ilvl w:val="0"/>
          <w:numId w:val="0"/>
        </w:numPr>
        <w:spacing w:beforeLines="0" w:afterLines="0" w:line="59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 xml:space="preserve"> 年度政府性基金预算财政拨款支出年初预算为</w:t>
      </w:r>
      <w:r>
        <w:rPr>
          <w:rFonts w:hint="eastAsia" w:ascii="仿宋" w:hAnsi="仿宋" w:eastAsia="仿宋" w:cs="仿宋"/>
          <w:sz w:val="32"/>
          <w:szCs w:val="32"/>
          <w:lang w:val="en-US" w:eastAsia="zh-CN"/>
        </w:rPr>
        <w:t>171843</w:t>
      </w:r>
      <w:r>
        <w:rPr>
          <w:rFonts w:hint="eastAsia" w:ascii="仿宋" w:hAnsi="仿宋" w:eastAsia="仿宋" w:cs="仿宋"/>
          <w:sz w:val="32"/>
          <w:szCs w:val="32"/>
          <w:lang w:eastAsia="zh-CN"/>
        </w:rPr>
        <w:t xml:space="preserve"> 万元，支出决算为 </w:t>
      </w:r>
      <w:r>
        <w:rPr>
          <w:rFonts w:hint="eastAsia" w:ascii="仿宋" w:hAnsi="仿宋" w:eastAsia="仿宋" w:cs="仿宋"/>
          <w:sz w:val="32"/>
          <w:szCs w:val="32"/>
          <w:lang w:val="en-US" w:eastAsia="zh-CN"/>
        </w:rPr>
        <w:t>171843</w:t>
      </w:r>
      <w:r>
        <w:rPr>
          <w:rFonts w:hint="eastAsia" w:ascii="仿宋" w:hAnsi="仿宋" w:eastAsia="仿宋" w:cs="仿宋"/>
          <w:sz w:val="32"/>
          <w:szCs w:val="32"/>
          <w:lang w:eastAsia="zh-CN"/>
        </w:rPr>
        <w:t>万元，完成年初预算的</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00</w:t>
      </w:r>
      <w:r>
        <w:rPr>
          <w:rFonts w:hint="eastAsia" w:ascii="仿宋" w:hAnsi="仿宋" w:eastAsia="仿宋" w:cs="仿宋"/>
          <w:sz w:val="32"/>
          <w:szCs w:val="32"/>
          <w:lang w:eastAsia="zh-CN"/>
        </w:rPr>
        <w:drawing>
          <wp:inline distT="0" distB="0" distL="114300" distR="114300">
            <wp:extent cx="85090" cy="154940"/>
            <wp:effectExtent l="0" t="0" r="10160" b="165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初预算为121万元，支出决算为121万元，完成年初预算的100%。较2018年度持平。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单位共有车辆1辆，其中：一般公务用车1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rPr>
          <w:rFonts w:hint="eastAsia" w:eastAsia="宋体"/>
          <w:lang w:val="en-US" w:eastAsia="zh-CN"/>
        </w:rPr>
      </w:pPr>
      <w:r>
        <w:rPr>
          <w:rFonts w:hint="eastAsia"/>
          <w:lang w:val="en-US" w:eastAsia="zh-CN"/>
        </w:rPr>
        <w:t xml:space="preserve"> </w:t>
      </w:r>
    </w:p>
    <w:p/>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5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E27F"/>
    <w:multiLevelType w:val="singleLevel"/>
    <w:tmpl w:val="0813E27F"/>
    <w:lvl w:ilvl="0" w:tentative="0">
      <w:start w:val="1"/>
      <w:numFmt w:val="chineseCounting"/>
      <w:suff w:val="nothing"/>
      <w:lvlText w:val="%1、"/>
      <w:lvlJc w:val="left"/>
      <w:rPr>
        <w:rFonts w:hint="eastAsia"/>
      </w:rPr>
    </w:lvl>
  </w:abstractNum>
  <w:abstractNum w:abstractNumId="1">
    <w:nsid w:val="24B2DA00"/>
    <w:multiLevelType w:val="singleLevel"/>
    <w:tmpl w:val="24B2DA00"/>
    <w:lvl w:ilvl="0" w:tentative="0">
      <w:start w:val="1"/>
      <w:numFmt w:val="decimal"/>
      <w:suff w:val="nothing"/>
      <w:lvlText w:val="%1．"/>
      <w:lvlJc w:val="left"/>
    </w:lvl>
  </w:abstractNum>
  <w:abstractNum w:abstractNumId="2">
    <w:nsid w:val="2E48F058"/>
    <w:multiLevelType w:val="singleLevel"/>
    <w:tmpl w:val="2E48F058"/>
    <w:lvl w:ilvl="0" w:tentative="0">
      <w:start w:val="9"/>
      <w:numFmt w:val="chineseCounting"/>
      <w:suff w:val="nothing"/>
      <w:lvlText w:val="%1、"/>
      <w:lvlJc w:val="left"/>
      <w:rPr>
        <w:rFonts w:hint="eastAsia"/>
      </w:rPr>
    </w:lvl>
  </w:abstractNum>
  <w:abstractNum w:abstractNumId="3">
    <w:nsid w:val="39489D8C"/>
    <w:multiLevelType w:val="singleLevel"/>
    <w:tmpl w:val="39489D8C"/>
    <w:lvl w:ilvl="0" w:tentative="0">
      <w:start w:val="3"/>
      <w:numFmt w:val="chineseCounting"/>
      <w:lvlText w:val="第%1部分"/>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CC7257"/>
    <w:rsid w:val="03DC2804"/>
    <w:rsid w:val="05F57217"/>
    <w:rsid w:val="0BA304CD"/>
    <w:rsid w:val="0D9062E7"/>
    <w:rsid w:val="12F81E26"/>
    <w:rsid w:val="140563E5"/>
    <w:rsid w:val="15905ECD"/>
    <w:rsid w:val="1C5C5DAD"/>
    <w:rsid w:val="1F2729EF"/>
    <w:rsid w:val="1F811484"/>
    <w:rsid w:val="26FB3DD6"/>
    <w:rsid w:val="2CD7012E"/>
    <w:rsid w:val="2D474953"/>
    <w:rsid w:val="2E642840"/>
    <w:rsid w:val="2E7E72B8"/>
    <w:rsid w:val="2F124E7D"/>
    <w:rsid w:val="2FD3060D"/>
    <w:rsid w:val="31EE2784"/>
    <w:rsid w:val="3223036A"/>
    <w:rsid w:val="32FA6A6D"/>
    <w:rsid w:val="33C7781A"/>
    <w:rsid w:val="387927B5"/>
    <w:rsid w:val="3E396404"/>
    <w:rsid w:val="3E8A5D1C"/>
    <w:rsid w:val="3ECC5C74"/>
    <w:rsid w:val="48056DC3"/>
    <w:rsid w:val="4C9752A9"/>
    <w:rsid w:val="4D3D47C6"/>
    <w:rsid w:val="4F702056"/>
    <w:rsid w:val="4FC10099"/>
    <w:rsid w:val="50C8334B"/>
    <w:rsid w:val="536A1A37"/>
    <w:rsid w:val="56E244BA"/>
    <w:rsid w:val="5BBF33CD"/>
    <w:rsid w:val="5D914E11"/>
    <w:rsid w:val="5E962EC4"/>
    <w:rsid w:val="5F152507"/>
    <w:rsid w:val="606D3F2E"/>
    <w:rsid w:val="63056908"/>
    <w:rsid w:val="66132327"/>
    <w:rsid w:val="6B227233"/>
    <w:rsid w:val="6D101368"/>
    <w:rsid w:val="6E2D0B6D"/>
    <w:rsid w:val="6F4F642F"/>
    <w:rsid w:val="6F640286"/>
    <w:rsid w:val="71C52037"/>
    <w:rsid w:val="72567CE5"/>
    <w:rsid w:val="747475CC"/>
    <w:rsid w:val="75265254"/>
    <w:rsid w:val="78C018EE"/>
    <w:rsid w:val="78E6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font01"/>
    <w:basedOn w:val="7"/>
    <w:qFormat/>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1</TotalTime>
  <ScaleCrop>false</ScaleCrop>
  <LinksUpToDate>false</LinksUpToDate>
  <CharactersWithSpaces>9053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2020-11-20T00:23:40Z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