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濮阳县文化广电旅游局</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濮阳县文化广电旅游局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numPr>
          <w:ilvl w:val="0"/>
          <w:numId w:val="2"/>
        </w:numPr>
        <w:jc w:val="center"/>
        <w:outlineLvl w:val="0"/>
        <w:rPr>
          <w:rFonts w:hint="eastAsia" w:ascii="黑体" w:hAnsi="宋体" w:eastAsia="黑体" w:cs="宋体"/>
          <w:color w:val="auto"/>
          <w:kern w:val="0"/>
          <w:sz w:val="36"/>
          <w:szCs w:val="36"/>
          <w:highlight w:val="none"/>
          <w:lang w:val="en-US" w:eastAsia="zh-CN"/>
        </w:rPr>
      </w:pPr>
      <w:r>
        <w:rPr>
          <w:rFonts w:hint="eastAsia" w:ascii="黑体" w:hAnsi="黑体" w:eastAsia="黑体" w:cs="黑体"/>
          <w:color w:val="auto"/>
          <w:sz w:val="36"/>
          <w:szCs w:val="36"/>
          <w:highlight w:val="none"/>
          <w:lang w:val="en-US" w:eastAsia="zh-CN"/>
        </w:rPr>
        <w:t xml:space="preserve"> </w:t>
      </w:r>
    </w:p>
    <w:p>
      <w:pPr>
        <w:widowControl/>
        <w:numPr>
          <w:ilvl w:val="0"/>
          <w:numId w:val="0"/>
        </w:numPr>
        <w:jc w:val="center"/>
        <w:outlineLvl w:val="0"/>
        <w:rPr>
          <w:rFonts w:hint="eastAsia" w:ascii="黑体" w:hAnsi="宋体" w:eastAsia="黑体" w:cs="宋体"/>
          <w:color w:val="auto"/>
          <w:kern w:val="0"/>
          <w:sz w:val="44"/>
          <w:szCs w:val="44"/>
          <w:highlight w:val="none"/>
          <w:lang w:val="en-US" w:eastAsia="zh-CN"/>
        </w:rPr>
      </w:pPr>
      <w:r>
        <w:rPr>
          <w:rFonts w:hint="eastAsia" w:ascii="黑体" w:hAnsi="黑体" w:eastAsia="黑体" w:cs="黑体"/>
          <w:color w:val="auto"/>
          <w:sz w:val="44"/>
          <w:szCs w:val="44"/>
          <w:highlight w:val="none"/>
          <w:lang w:val="en-US" w:eastAsia="zh-CN"/>
        </w:rPr>
        <w:t>濮阳县文化广电旅游局</w:t>
      </w:r>
      <w:r>
        <w:rPr>
          <w:rFonts w:hint="eastAsia" w:ascii="黑体" w:hAnsi="黑体" w:eastAsia="黑体" w:cs="黑体"/>
          <w:color w:val="auto"/>
          <w:sz w:val="44"/>
          <w:szCs w:val="44"/>
          <w:highlight w:val="none"/>
        </w:rPr>
        <w:t>概况</w:t>
      </w:r>
    </w:p>
    <w:p>
      <w:pPr>
        <w:widowControl/>
        <w:jc w:val="left"/>
        <w:rPr>
          <w:rFonts w:hint="eastAsia" w:ascii="黑体" w:hAnsi="宋体" w:eastAsia="黑体" w:cs="宋体"/>
          <w:color w:val="auto"/>
          <w:kern w:val="0"/>
          <w:sz w:val="36"/>
          <w:szCs w:val="36"/>
          <w:highlight w:val="none"/>
          <w:lang w:val="en-US" w:eastAsia="zh-CN"/>
        </w:rPr>
      </w:pPr>
    </w:p>
    <w:p>
      <w:pPr>
        <w:widowControl/>
        <w:jc w:val="left"/>
        <w:rPr>
          <w:rFonts w:hint="eastAsia" w:ascii="黑体" w:hAnsi="宋体" w:eastAsia="黑体" w:cs="宋体"/>
          <w:color w:val="auto"/>
          <w:kern w:val="0"/>
          <w:sz w:val="36"/>
          <w:szCs w:val="36"/>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宋体" w:hAnsi="宋体"/>
          <w:b/>
          <w:sz w:val="28"/>
          <w:szCs w:val="28"/>
        </w:rPr>
      </w:pPr>
      <w:r>
        <w:rPr>
          <w:rFonts w:hint="eastAsia" w:ascii="宋体" w:hAnsi="宋体"/>
          <w:b/>
          <w:sz w:val="28"/>
          <w:szCs w:val="28"/>
        </w:rPr>
        <w:t>一、主要职能</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仿宋_GB2312" w:hAnsi="仿宋_GB2312" w:eastAsia="仿宋_GB2312" w:cs="仿宋_GB2312"/>
          <w:b/>
          <w:color w:val="000000"/>
          <w:spacing w:val="8"/>
          <w:w w:val="97"/>
          <w:kern w:val="0"/>
          <w:sz w:val="32"/>
          <w:szCs w:val="32"/>
        </w:rPr>
      </w:pPr>
      <w:r>
        <w:rPr>
          <w:rFonts w:hint="eastAsia" w:ascii="宋体" w:hAnsi="宋体"/>
          <w:sz w:val="28"/>
          <w:szCs w:val="28"/>
        </w:rPr>
        <w:t xml:space="preserve"> </w:t>
      </w:r>
      <w:r>
        <w:rPr>
          <w:rFonts w:hint="eastAsia" w:ascii="仿宋_GB2312" w:hAnsi="仿宋_GB2312" w:eastAsia="仿宋_GB2312" w:cs="仿宋_GB2312"/>
          <w:spacing w:val="8"/>
          <w:w w:val="97"/>
          <w:sz w:val="32"/>
          <w:szCs w:val="32"/>
        </w:rPr>
        <w:t>（一）贯彻执行国</w:t>
      </w:r>
      <w:r>
        <w:rPr>
          <w:rFonts w:hint="eastAsia" w:ascii="仿宋_GB2312" w:hAnsi="仿宋_GB2312" w:eastAsia="仿宋_GB2312" w:cs="仿宋_GB2312"/>
          <w:color w:val="000000"/>
          <w:spacing w:val="8"/>
          <w:w w:val="97"/>
          <w:kern w:val="0"/>
          <w:sz w:val="32"/>
          <w:szCs w:val="32"/>
        </w:rPr>
        <w:t>家、省、市关于文化艺术、文物保护、广播电影电视、旅游业、新闻出版、著作权保护的法律、法规和方针、政策；拟订有关全县文化艺术、文物保护、广播电影电视、旅游业、新闻出版、著作权管理的规范性文件，把握正确的舆论导向和创作导向。</w:t>
      </w:r>
    </w:p>
    <w:p>
      <w:pPr>
        <w:pStyle w:val="6"/>
        <w:keepNext w:val="0"/>
        <w:keepLines w:val="0"/>
        <w:pageBreakBefore w:val="0"/>
        <w:kinsoku/>
        <w:wordWrap/>
        <w:overflowPunct/>
        <w:topLinePunct w:val="0"/>
        <w:autoSpaceDE/>
        <w:autoSpaceDN/>
        <w:bidi w:val="0"/>
        <w:adjustRightInd/>
        <w:snapToGrid/>
        <w:spacing w:line="580" w:lineRule="exact"/>
        <w:ind w:firstLine="0"/>
        <w:outlineLvl w:val="9"/>
        <w:rPr>
          <w:rFonts w:hint="eastAsia" w:hAnsi="仿宋_GB2312" w:cs="仿宋_GB2312"/>
          <w:spacing w:val="8"/>
          <w:w w:val="97"/>
          <w:sz w:val="32"/>
          <w:szCs w:val="32"/>
        </w:rPr>
      </w:pPr>
      <w:r>
        <w:rPr>
          <w:rFonts w:hint="eastAsia" w:hAnsi="仿宋_GB2312" w:cs="仿宋_GB2312"/>
          <w:spacing w:val="8"/>
          <w:w w:val="97"/>
          <w:sz w:val="32"/>
          <w:szCs w:val="32"/>
        </w:rPr>
        <w:t xml:space="preserve">   （二）拟订全县文化艺术、文物、广播电影电视、旅游事业、新闻出版事业的发展战略；编制全县文化艺术、文物、广播电影电视、旅游事业、新闻出版事业和产业的中长期发展规划，促进科技成果的推广应用，并指导实施。</w:t>
      </w:r>
    </w:p>
    <w:p>
      <w:pPr>
        <w:pStyle w:val="6"/>
        <w:keepNext w:val="0"/>
        <w:keepLines w:val="0"/>
        <w:pageBreakBefore w:val="0"/>
        <w:kinsoku/>
        <w:wordWrap/>
        <w:overflowPunct/>
        <w:topLinePunct w:val="0"/>
        <w:autoSpaceDE/>
        <w:autoSpaceDN/>
        <w:bidi w:val="0"/>
        <w:adjustRightInd/>
        <w:snapToGrid/>
        <w:spacing w:line="580" w:lineRule="exact"/>
        <w:ind w:firstLine="0"/>
        <w:outlineLvl w:val="9"/>
        <w:rPr>
          <w:rFonts w:hint="eastAsia" w:hAnsi="仿宋_GB2312" w:cs="仿宋_GB2312"/>
          <w:spacing w:val="8"/>
          <w:w w:val="97"/>
          <w:sz w:val="32"/>
          <w:szCs w:val="32"/>
        </w:rPr>
      </w:pPr>
      <w:r>
        <w:rPr>
          <w:rFonts w:hint="eastAsia" w:hAnsi="仿宋_GB2312" w:cs="仿宋_GB2312"/>
          <w:spacing w:val="8"/>
          <w:w w:val="97"/>
          <w:sz w:val="32"/>
          <w:szCs w:val="32"/>
        </w:rPr>
        <w:t xml:space="preserve">   （三）拟订全县文化艺术、文物、广播电影电视、旅游和新闻出版市场发展规划并监督实施；对全县文化艺术、文物、广播电影电视、旅游和新闻出版业领域的经营活动进行行业监管；指导、监督管理文化市场综合执法活动。</w:t>
      </w:r>
    </w:p>
    <w:p>
      <w:pPr>
        <w:pStyle w:val="6"/>
        <w:keepNext w:val="0"/>
        <w:keepLines w:val="0"/>
        <w:pageBreakBefore w:val="0"/>
        <w:kinsoku/>
        <w:wordWrap/>
        <w:overflowPunct/>
        <w:topLinePunct w:val="0"/>
        <w:autoSpaceDE/>
        <w:autoSpaceDN/>
        <w:bidi w:val="0"/>
        <w:adjustRightInd/>
        <w:snapToGrid/>
        <w:spacing w:line="580" w:lineRule="exact"/>
        <w:ind w:firstLine="0"/>
        <w:outlineLvl w:val="9"/>
        <w:rPr>
          <w:rFonts w:hint="eastAsia" w:hAnsi="仿宋_GB2312" w:cs="仿宋_GB2312"/>
          <w:w w:val="97"/>
          <w:sz w:val="32"/>
          <w:szCs w:val="32"/>
        </w:rPr>
      </w:pPr>
      <w:r>
        <w:rPr>
          <w:rFonts w:hint="eastAsia" w:hAnsi="仿宋_GB2312" w:cs="仿宋_GB2312"/>
          <w:w w:val="97"/>
          <w:sz w:val="32"/>
          <w:szCs w:val="32"/>
        </w:rPr>
        <w:t xml:space="preserve">    （四）拟订全县文化艺术教育事业发展规划；指导全县文化广电旅游系统体制机制改革。 </w:t>
      </w:r>
    </w:p>
    <w:p>
      <w:pPr>
        <w:pStyle w:val="6"/>
        <w:keepNext w:val="0"/>
        <w:keepLines w:val="0"/>
        <w:pageBreakBefore w:val="0"/>
        <w:kinsoku/>
        <w:wordWrap/>
        <w:overflowPunct/>
        <w:topLinePunct w:val="0"/>
        <w:autoSpaceDE/>
        <w:autoSpaceDN/>
        <w:bidi w:val="0"/>
        <w:adjustRightInd/>
        <w:snapToGrid/>
        <w:spacing w:line="580" w:lineRule="exact"/>
        <w:ind w:firstLine="0"/>
        <w:outlineLvl w:val="9"/>
        <w:rPr>
          <w:rFonts w:hint="eastAsia" w:hAnsi="仿宋_GB2312" w:cs="仿宋_GB2312"/>
          <w:w w:val="97"/>
          <w:sz w:val="32"/>
          <w:szCs w:val="32"/>
        </w:rPr>
      </w:pPr>
      <w:r>
        <w:rPr>
          <w:rFonts w:hint="eastAsia" w:hAnsi="仿宋_GB2312" w:cs="仿宋_GB2312"/>
          <w:spacing w:val="8"/>
          <w:sz w:val="32"/>
          <w:szCs w:val="32"/>
        </w:rPr>
        <w:t xml:space="preserve">   （五）推进全县公共文化服务，规划、引导公共文化产品生产，指导全县文化设施建设和基层文化设施建设；指导、管理全县社会文化事业，指导全县图书馆、文化馆、乡镇文化中心事业和基层文化建设；拟订全县非物质文化遗产保护规划并监督实施，组织实施全县非物质文化遗产保护和优秀民族文化的传承普及等工作。</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仿宋_GB2312" w:hAnsi="仿宋_GB2312" w:eastAsia="仿宋_GB2312" w:cs="仿宋_GB2312"/>
          <w:color w:val="000000"/>
          <w:spacing w:val="8"/>
          <w:w w:val="97"/>
          <w:kern w:val="0"/>
          <w:sz w:val="32"/>
          <w:szCs w:val="32"/>
        </w:rPr>
      </w:pPr>
      <w:r>
        <w:rPr>
          <w:rFonts w:hint="eastAsia" w:ascii="仿宋_GB2312" w:hAnsi="仿宋_GB2312" w:eastAsia="仿宋_GB2312" w:cs="仿宋_GB2312"/>
          <w:color w:val="000000"/>
          <w:spacing w:val="8"/>
          <w:w w:val="97"/>
          <w:kern w:val="0"/>
          <w:sz w:val="32"/>
          <w:szCs w:val="32"/>
        </w:rPr>
        <w:t xml:space="preserve">   （六）指导、管理全县文学艺术事业，指导文学艺术创作与生产，扶持代表性、示范性、实验性文化艺术品种，推动各门类艺术事业创新发展；组织管理全县性重大文化活动；负责对外文化交流和对外文化宣传工作。</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仿宋_GB2312" w:hAnsi="仿宋_GB2312" w:eastAsia="仿宋_GB2312" w:cs="仿宋_GB2312"/>
          <w:color w:val="000000"/>
          <w:spacing w:val="8"/>
          <w:w w:val="97"/>
          <w:kern w:val="0"/>
          <w:sz w:val="32"/>
          <w:szCs w:val="32"/>
        </w:rPr>
      </w:pPr>
      <w:r>
        <w:rPr>
          <w:rFonts w:hint="eastAsia" w:ascii="仿宋_GB2312" w:hAnsi="仿宋_GB2312" w:eastAsia="仿宋_GB2312" w:cs="仿宋_GB2312"/>
          <w:color w:val="000000"/>
          <w:spacing w:val="8"/>
          <w:w w:val="97"/>
          <w:kern w:val="0"/>
          <w:sz w:val="32"/>
          <w:szCs w:val="32"/>
          <w:u w:val="none"/>
        </w:rPr>
        <w:t xml:space="preserve">   （七）贯彻执行文物保护法律、法规和文物工作方针政策。制定并组织实施全县文物、博物馆事业发展规划，</w:t>
      </w:r>
      <w:r>
        <w:rPr>
          <w:rFonts w:hint="eastAsia" w:ascii="仿宋_GB2312" w:hAnsi="仿宋_GB2312" w:eastAsia="仿宋_GB2312" w:cs="仿宋_GB2312"/>
          <w:spacing w:val="8"/>
          <w:w w:val="97"/>
          <w:sz w:val="32"/>
          <w:szCs w:val="32"/>
          <w:u w:val="none"/>
        </w:rPr>
        <w:t>管理和指导全县文物和博物馆工作；</w:t>
      </w:r>
      <w:r>
        <w:rPr>
          <w:rFonts w:hint="eastAsia" w:ascii="仿宋_GB2312" w:hAnsi="仿宋_GB2312" w:eastAsia="仿宋_GB2312" w:cs="仿宋_GB2312"/>
          <w:kern w:val="0"/>
          <w:sz w:val="32"/>
          <w:szCs w:val="32"/>
          <w:u w:val="none"/>
        </w:rPr>
        <w:t>组织文物资源调查，申报全国、省级、市级、县级重点文物保护单位；</w:t>
      </w:r>
      <w:r>
        <w:rPr>
          <w:rFonts w:hint="eastAsia" w:ascii="仿宋_GB2312" w:hAnsi="仿宋_GB2312" w:eastAsia="仿宋_GB2312" w:cs="仿宋_GB2312"/>
          <w:spacing w:val="8"/>
          <w:w w:val="97"/>
          <w:sz w:val="32"/>
          <w:szCs w:val="32"/>
          <w:u w:val="none"/>
        </w:rPr>
        <w:t>负责推动完善全县文物和博物馆公共服务体系；指导社会文物管理抢救、征集工作；组织实施文物保护科技项目；指导全县重大文物保护和文物建筑保护维修工作；</w:t>
      </w:r>
      <w:r>
        <w:rPr>
          <w:rFonts w:hint="eastAsia" w:ascii="仿宋_GB2312" w:hAnsi="仿宋_GB2312" w:eastAsia="仿宋_GB2312" w:cs="仿宋_GB2312"/>
          <w:color w:val="000000"/>
          <w:spacing w:val="8"/>
          <w:w w:val="97"/>
          <w:kern w:val="0"/>
          <w:sz w:val="32"/>
          <w:szCs w:val="32"/>
        </w:rPr>
        <w:t>组织协调全县重大文物保护和考古发掘项目的实施，负责文物调查、勘探、考古发掘工作和辖区内国家、省、市、县重点项目建设中的文物保护工作；</w:t>
      </w:r>
      <w:r>
        <w:rPr>
          <w:rFonts w:hint="eastAsia" w:ascii="仿宋_GB2312" w:hAnsi="仿宋_GB2312" w:eastAsia="仿宋_GB2312" w:cs="仿宋_GB2312"/>
          <w:spacing w:val="8"/>
          <w:w w:val="97"/>
          <w:sz w:val="32"/>
          <w:szCs w:val="32"/>
        </w:rPr>
        <w:t>协同有关部门负责历史文化名城、名镇、名村、历史文化街区的规划、保护、管理和监督工作；履行文物行政执法督察职责，配合有关部门开展打击文物违法犯罪活动</w:t>
      </w:r>
      <w:r>
        <w:rPr>
          <w:rFonts w:hint="eastAsia" w:ascii="仿宋_GB2312" w:hAnsi="仿宋_GB2312" w:eastAsia="仿宋_GB2312" w:cs="仿宋_GB2312"/>
          <w:color w:val="000000"/>
          <w:spacing w:val="8"/>
          <w:w w:val="97"/>
          <w:kern w:val="0"/>
          <w:sz w:val="32"/>
          <w:szCs w:val="32"/>
        </w:rPr>
        <w:t xml:space="preserve">。 </w:t>
      </w:r>
    </w:p>
    <w:p>
      <w:pPr>
        <w:keepNext w:val="0"/>
        <w:keepLines w:val="0"/>
        <w:pageBreakBefore w:val="0"/>
        <w:kinsoku/>
        <w:wordWrap/>
        <w:overflowPunct/>
        <w:topLinePunct w:val="0"/>
        <w:autoSpaceDE/>
        <w:autoSpaceDN/>
        <w:bidi w:val="0"/>
        <w:adjustRightInd/>
        <w:snapToGrid/>
        <w:spacing w:line="580" w:lineRule="exact"/>
        <w:outlineLvl w:val="9"/>
        <w:rPr>
          <w:rFonts w:hint="eastAsia" w:ascii="仿宋_GB2312" w:hAnsi="仿宋_GB2312" w:eastAsia="仿宋_GB2312" w:cs="仿宋_GB2312"/>
          <w:color w:val="000000"/>
          <w:spacing w:val="8"/>
          <w:w w:val="97"/>
          <w:kern w:val="0"/>
          <w:sz w:val="32"/>
          <w:szCs w:val="32"/>
          <w:u w:val="none"/>
        </w:rPr>
      </w:pPr>
      <w:r>
        <w:rPr>
          <w:rFonts w:hint="eastAsia" w:ascii="仿宋_GB2312" w:hAnsi="仿宋_GB2312" w:eastAsia="仿宋_GB2312" w:cs="仿宋_GB2312"/>
          <w:color w:val="000000"/>
          <w:spacing w:val="8"/>
          <w:w w:val="97"/>
          <w:kern w:val="0"/>
          <w:sz w:val="32"/>
          <w:szCs w:val="32"/>
        </w:rPr>
        <w:t xml:space="preserve">   （八）</w:t>
      </w:r>
      <w:r>
        <w:rPr>
          <w:rFonts w:hint="eastAsia" w:ascii="仿宋_GB2312" w:hAnsi="仿宋_GB2312" w:eastAsia="仿宋_GB2312" w:cs="仿宋_GB2312"/>
          <w:kern w:val="0"/>
          <w:sz w:val="32"/>
          <w:szCs w:val="32"/>
          <w:u w:val="none"/>
        </w:rPr>
        <w:t>拟定全县文化市场发展规划并监督实施，指导、管理、监督文化市场综合执法工作，负责</w:t>
      </w:r>
      <w:r>
        <w:rPr>
          <w:rFonts w:hint="eastAsia" w:ascii="仿宋_GB2312" w:hAnsi="Arial" w:eastAsia="仿宋_GB2312"/>
          <w:color w:val="000000"/>
          <w:spacing w:val="8"/>
          <w:w w:val="97"/>
          <w:kern w:val="0"/>
          <w:sz w:val="32"/>
          <w:szCs w:val="32"/>
          <w:u w:val="none"/>
        </w:rPr>
        <w:t>对网吧等上网服务营业场所实行经营许可证管理，对网络游戏服务进行监督管理，对</w:t>
      </w:r>
      <w:r>
        <w:rPr>
          <w:rFonts w:hint="eastAsia" w:ascii="仿宋_GB2312" w:hAnsi="仿宋_GB2312" w:eastAsia="仿宋_GB2312" w:cs="仿宋_GB2312"/>
          <w:kern w:val="0"/>
          <w:sz w:val="32"/>
          <w:szCs w:val="32"/>
          <w:u w:val="none"/>
        </w:rPr>
        <w:t>文化艺术经营活动进行行业监管，指导从事演艺活动民办机构监管工作。</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仿宋_GB2312" w:hAnsi="仿宋_GB2312" w:eastAsia="仿宋_GB2312" w:cs="仿宋_GB2312"/>
          <w:color w:val="000000"/>
          <w:spacing w:val="8"/>
          <w:w w:val="97"/>
          <w:kern w:val="0"/>
          <w:sz w:val="32"/>
          <w:szCs w:val="32"/>
        </w:rPr>
      </w:pPr>
      <w:r>
        <w:rPr>
          <w:rFonts w:hint="eastAsia" w:ascii="仿宋_GB2312" w:hAnsi="仿宋_GB2312" w:eastAsia="仿宋_GB2312" w:cs="仿宋_GB2312"/>
          <w:color w:val="000000"/>
          <w:spacing w:val="8"/>
          <w:w w:val="97"/>
          <w:kern w:val="0"/>
          <w:sz w:val="32"/>
          <w:szCs w:val="32"/>
        </w:rPr>
        <w:t xml:space="preserve">   （九）领导濮阳县广播电台和濮阳县电视台，对其宣传、发展、传输覆盖等重大事项进行指导、协调和管理。</w:t>
      </w:r>
      <w:r>
        <w:rPr>
          <w:rFonts w:hint="eastAsia" w:ascii="仿宋_GB2312" w:hAnsi="仿宋_GB2312" w:eastAsia="仿宋_GB2312" w:cs="仿宋_GB2312"/>
          <w:color w:val="000000"/>
          <w:spacing w:val="8"/>
          <w:w w:val="97"/>
          <w:kern w:val="0"/>
          <w:sz w:val="32"/>
          <w:szCs w:val="32"/>
        </w:rPr>
        <w:br w:type="textWrapping"/>
      </w:r>
      <w:r>
        <w:rPr>
          <w:rFonts w:hint="eastAsia" w:ascii="仿宋_GB2312" w:hAnsi="仿宋_GB2312" w:eastAsia="仿宋_GB2312" w:cs="仿宋_GB2312"/>
          <w:color w:val="000000"/>
          <w:spacing w:val="8"/>
          <w:w w:val="97"/>
          <w:kern w:val="0"/>
          <w:sz w:val="32"/>
          <w:szCs w:val="32"/>
        </w:rPr>
        <w:t xml:space="preserve">   （十）组织推进全县广播电影电视公共服务，组织实施全县广播电影电视重大工程，指导、协调全县广播电视覆盖工作；指导、监督管理县广播电影电视重点基础设施建设；监督管理全县广播电影电视节目、信息网络视听节目和公共视听载体播放的视听节目，审查其内容和质量；监督管理全县广播电影电视节目传输、监测和安全播放。</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仿宋_GB2312" w:hAnsi="仿宋_GB2312" w:eastAsia="仿宋_GB2312" w:cs="仿宋_GB2312"/>
          <w:b/>
          <w:color w:val="000000"/>
          <w:spacing w:val="8"/>
          <w:w w:val="97"/>
          <w:kern w:val="0"/>
          <w:sz w:val="32"/>
          <w:szCs w:val="32"/>
        </w:rPr>
      </w:pPr>
      <w:r>
        <w:rPr>
          <w:rFonts w:hint="eastAsia" w:ascii="仿宋_GB2312" w:hAnsi="仿宋_GB2312" w:eastAsia="仿宋_GB2312" w:cs="仿宋_GB2312"/>
          <w:color w:val="000000"/>
          <w:spacing w:val="8"/>
          <w:w w:val="97"/>
          <w:kern w:val="0"/>
          <w:sz w:val="32"/>
          <w:szCs w:val="32"/>
        </w:rPr>
        <w:t xml:space="preserve">   （十一）负责全县广播电影电视、信息网络视听节目服务机构和业务的监督管理</w:t>
      </w:r>
      <w:r>
        <w:rPr>
          <w:rFonts w:hint="eastAsia" w:ascii="仿宋_GB2312" w:hAnsi="Arial" w:eastAsia="仿宋_GB2312"/>
          <w:color w:val="000000"/>
          <w:spacing w:val="8"/>
          <w:w w:val="97"/>
          <w:kern w:val="0"/>
          <w:sz w:val="32"/>
          <w:szCs w:val="32"/>
        </w:rPr>
        <w:t>并实施准入和退出管理</w:t>
      </w:r>
      <w:r>
        <w:rPr>
          <w:rFonts w:hint="eastAsia" w:ascii="仿宋_GB2312" w:hAnsi="仿宋_GB2312" w:eastAsia="仿宋_GB2312" w:cs="仿宋_GB2312"/>
          <w:color w:val="000000"/>
          <w:spacing w:val="8"/>
          <w:w w:val="97"/>
          <w:kern w:val="0"/>
          <w:sz w:val="32"/>
          <w:szCs w:val="32"/>
        </w:rPr>
        <w:t>；负责对从事广播电影电视节目制作民办机构的监督管理工作。</w:t>
      </w:r>
      <w:r>
        <w:rPr>
          <w:rFonts w:hint="eastAsia" w:ascii="仿宋_GB2312" w:hAnsi="仿宋_GB2312" w:eastAsia="仿宋_GB2312" w:cs="仿宋_GB2312"/>
          <w:color w:val="000000"/>
          <w:spacing w:val="8"/>
          <w:w w:val="97"/>
          <w:kern w:val="0"/>
          <w:sz w:val="32"/>
          <w:szCs w:val="32"/>
        </w:rPr>
        <w:br w:type="textWrapping"/>
      </w:r>
      <w:r>
        <w:rPr>
          <w:rFonts w:hint="eastAsia" w:ascii="仿宋_GB2312" w:hAnsi="仿宋_GB2312" w:eastAsia="仿宋_GB2312" w:cs="仿宋_GB2312"/>
          <w:color w:val="000000"/>
          <w:spacing w:val="8"/>
          <w:w w:val="97"/>
          <w:kern w:val="0"/>
          <w:sz w:val="32"/>
          <w:szCs w:val="32"/>
        </w:rPr>
        <w:t xml:space="preserve">   （十二）</w:t>
      </w:r>
      <w:r>
        <w:rPr>
          <w:rFonts w:hint="eastAsia" w:ascii="仿宋_GB2312" w:hAnsi="宋体" w:eastAsia="仿宋_GB2312"/>
          <w:color w:val="000000"/>
          <w:spacing w:val="8"/>
          <w:w w:val="97"/>
          <w:kern w:val="0"/>
          <w:sz w:val="32"/>
          <w:szCs w:val="32"/>
        </w:rPr>
        <w:t>拟订全县广播电视事业产业发展规划和广播电视、信息网络视听节目服务的规范性文件；</w:t>
      </w:r>
      <w:r>
        <w:rPr>
          <w:rFonts w:hint="eastAsia" w:ascii="仿宋_GB2312" w:hAnsi="仿宋_GB2312" w:eastAsia="仿宋_GB2312" w:cs="仿宋_GB2312"/>
          <w:color w:val="000000"/>
          <w:spacing w:val="8"/>
          <w:w w:val="97"/>
          <w:kern w:val="0"/>
          <w:sz w:val="32"/>
          <w:szCs w:val="32"/>
        </w:rPr>
        <w:t>指导全县广播电影电视和信息网络视听节目服务及科技工作。</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仿宋_GB2312" w:hAnsi="仿宋_GB2312" w:eastAsia="仿宋_GB2312" w:cs="仿宋_GB2312"/>
          <w:color w:val="000000"/>
          <w:spacing w:val="8"/>
          <w:w w:val="97"/>
          <w:kern w:val="0"/>
          <w:sz w:val="32"/>
          <w:szCs w:val="32"/>
        </w:rPr>
      </w:pPr>
      <w:r>
        <w:rPr>
          <w:rFonts w:hint="eastAsia" w:ascii="仿宋_GB2312" w:hAnsi="仿宋_GB2312" w:eastAsia="仿宋_GB2312" w:cs="仿宋_GB2312"/>
          <w:color w:val="000000"/>
          <w:spacing w:val="8"/>
          <w:w w:val="97"/>
          <w:kern w:val="0"/>
          <w:sz w:val="32"/>
          <w:szCs w:val="32"/>
        </w:rPr>
        <w:t xml:space="preserve">   （十三）指导管理全县电影制片、发行和放映工作，组织实施农村电影放映工程；负责电影放映单位的审批和管理。</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仿宋_GB2312" w:hAnsi="仿宋_GB2312" w:eastAsia="仿宋_GB2312" w:cs="仿宋_GB2312"/>
          <w:color w:val="000000"/>
          <w:spacing w:val="8"/>
          <w:w w:val="97"/>
          <w:kern w:val="0"/>
          <w:sz w:val="32"/>
          <w:szCs w:val="32"/>
        </w:rPr>
      </w:pPr>
      <w:r>
        <w:rPr>
          <w:rFonts w:hint="eastAsia" w:ascii="仿宋_GB2312" w:hAnsi="仿宋_GB2312" w:eastAsia="仿宋_GB2312" w:cs="仿宋_GB2312"/>
          <w:color w:val="000000"/>
          <w:spacing w:val="8"/>
          <w:w w:val="97"/>
          <w:kern w:val="0"/>
          <w:sz w:val="32"/>
          <w:szCs w:val="32"/>
        </w:rPr>
        <w:t xml:space="preserve">   （十四）负责对全县新闻出版活动进行行业监督管理；负责出版物内容的监督管理；负责全县著作权的监督管理；</w:t>
      </w:r>
      <w:r>
        <w:rPr>
          <w:rFonts w:hint="eastAsia" w:ascii="仿宋_GB2312" w:hAnsi="仿宋_GB2312" w:eastAsia="仿宋_GB2312" w:cs="仿宋_GB2312"/>
          <w:color w:val="000000"/>
          <w:spacing w:val="8"/>
          <w:w w:val="97"/>
          <w:sz w:val="32"/>
          <w:szCs w:val="32"/>
        </w:rPr>
        <w:t>负责对出版活动和从事出版活动的民办机构的监管,组织查处违规出版物和违法违纪出版活动；</w:t>
      </w:r>
      <w:r>
        <w:rPr>
          <w:rFonts w:hint="eastAsia" w:ascii="仿宋_GB2312" w:hAnsi="仿宋_GB2312" w:eastAsia="仿宋_GB2312" w:cs="仿宋_GB2312"/>
          <w:color w:val="000000"/>
          <w:spacing w:val="8"/>
          <w:w w:val="97"/>
          <w:kern w:val="0"/>
          <w:sz w:val="32"/>
          <w:szCs w:val="32"/>
        </w:rPr>
        <w:t>负责对全县互联网出版活动和开办手机书刊、手机文学业务进行监管。</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仿宋_GB2312" w:hAnsi="仿宋_GB2312" w:eastAsia="仿宋_GB2312" w:cs="仿宋_GB2312"/>
          <w:color w:val="000000"/>
          <w:spacing w:val="8"/>
          <w:w w:val="97"/>
          <w:kern w:val="0"/>
          <w:sz w:val="32"/>
          <w:szCs w:val="32"/>
        </w:rPr>
      </w:pPr>
      <w:r>
        <w:rPr>
          <w:rFonts w:hint="eastAsia" w:ascii="仿宋_GB2312" w:hAnsi="仿宋_GB2312" w:eastAsia="仿宋_GB2312" w:cs="仿宋_GB2312"/>
          <w:color w:val="000000"/>
          <w:spacing w:val="8"/>
          <w:w w:val="97"/>
          <w:kern w:val="0"/>
          <w:sz w:val="32"/>
          <w:szCs w:val="32"/>
        </w:rPr>
        <w:t xml:space="preserve">   （十五）拟订出版物市场“扫黄打非”规范性文件、政策草案；制定全县出版物市场“扫黄打非”工作计划；组织“扫黄打非”行动。</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仿宋_GB2312" w:hAnsi="仿宋_GB2312" w:eastAsia="仿宋_GB2312" w:cs="仿宋_GB2312"/>
          <w:bCs/>
          <w:spacing w:val="8"/>
          <w:w w:val="97"/>
          <w:sz w:val="32"/>
          <w:szCs w:val="32"/>
        </w:rPr>
      </w:pPr>
      <w:r>
        <w:rPr>
          <w:rFonts w:hint="eastAsia" w:ascii="仿宋_GB2312" w:hAnsi="仿宋_GB2312" w:eastAsia="仿宋_GB2312" w:cs="仿宋_GB2312"/>
          <w:color w:val="000000"/>
          <w:spacing w:val="8"/>
          <w:w w:val="97"/>
          <w:kern w:val="0"/>
          <w:sz w:val="32"/>
          <w:szCs w:val="32"/>
        </w:rPr>
        <w:t xml:space="preserve">   （十六）监督管理驻濮阳县记者站，组织查处违规违纪的新闻采访活动；负责全县印刷业和出版物发行的监督管理。</w:t>
      </w:r>
    </w:p>
    <w:p>
      <w:pPr>
        <w:keepNext w:val="0"/>
        <w:keepLines w:val="0"/>
        <w:pageBreakBefore w:val="0"/>
        <w:kinsoku/>
        <w:wordWrap/>
        <w:overflowPunct/>
        <w:topLinePunct w:val="0"/>
        <w:autoSpaceDE/>
        <w:autoSpaceDN/>
        <w:bidi w:val="0"/>
        <w:adjustRightInd/>
        <w:snapToGrid/>
        <w:spacing w:line="580" w:lineRule="exact"/>
        <w:textAlignment w:val="baseline"/>
        <w:outlineLvl w:val="9"/>
        <w:rPr>
          <w:rFonts w:hint="eastAsia" w:ascii="仿宋_GB2312" w:hAnsi="仿宋_GB2312" w:eastAsia="仿宋_GB2312" w:cs="仿宋_GB2312"/>
          <w:spacing w:val="8"/>
          <w:w w:val="97"/>
          <w:sz w:val="32"/>
          <w:szCs w:val="32"/>
        </w:rPr>
      </w:pPr>
      <w:r>
        <w:rPr>
          <w:rFonts w:hint="eastAsia" w:ascii="仿宋_GB2312" w:hAnsi="仿宋_GB2312" w:eastAsia="仿宋_GB2312" w:cs="仿宋_GB2312"/>
          <w:spacing w:val="8"/>
          <w:w w:val="97"/>
          <w:sz w:val="32"/>
          <w:szCs w:val="32"/>
        </w:rPr>
        <w:t xml:space="preserve">   （十七）统筹协调全县旅游业发展，拟订全县旅游发展战略和规划，制定年度计划并负责监督实施；指导全县旅游工作；制定全县国内旅游、入境旅游和出境旅游的市场开发战略并组织实施；组织全县旅游整体形象的对外宣传和旅游市场的开发工作；负责全县重大旅游活动的组织与实施；指导我县驻外旅游办事机构的业务工作。</w:t>
      </w:r>
    </w:p>
    <w:p>
      <w:pPr>
        <w:keepNext w:val="0"/>
        <w:keepLines w:val="0"/>
        <w:pageBreakBefore w:val="0"/>
        <w:kinsoku/>
        <w:wordWrap/>
        <w:overflowPunct/>
        <w:topLinePunct w:val="0"/>
        <w:autoSpaceDE/>
        <w:autoSpaceDN/>
        <w:bidi w:val="0"/>
        <w:adjustRightInd/>
        <w:snapToGrid/>
        <w:spacing w:line="580" w:lineRule="exact"/>
        <w:textAlignment w:val="baseline"/>
        <w:outlineLvl w:val="9"/>
        <w:rPr>
          <w:rFonts w:hint="eastAsia" w:ascii="仿宋_GB2312" w:hAnsi="仿宋_GB2312" w:eastAsia="仿宋_GB2312" w:cs="仿宋_GB2312"/>
          <w:spacing w:val="8"/>
          <w:w w:val="97"/>
          <w:sz w:val="32"/>
          <w:szCs w:val="32"/>
        </w:rPr>
      </w:pPr>
      <w:r>
        <w:rPr>
          <w:rFonts w:hint="eastAsia" w:ascii="仿宋_GB2312" w:hAnsi="仿宋_GB2312" w:eastAsia="仿宋_GB2312" w:cs="仿宋_GB2312"/>
          <w:spacing w:val="8"/>
          <w:w w:val="97"/>
          <w:sz w:val="32"/>
          <w:szCs w:val="32"/>
        </w:rPr>
        <w:t xml:space="preserve">   （十八）组织全县旅游资源的普查、规划、开发和相关保护工作；指导全县重点旅游区域、旅游目的地和旅游线路的规划开发，引导休闲度假；监测全县旅游经济运行情况，负责旅游统计及行业信息发布；协调和指导全县假日旅游和红色旅游工作。</w:t>
      </w:r>
    </w:p>
    <w:p>
      <w:pPr>
        <w:keepNext w:val="0"/>
        <w:keepLines w:val="0"/>
        <w:pageBreakBefore w:val="0"/>
        <w:kinsoku/>
        <w:wordWrap/>
        <w:overflowPunct/>
        <w:topLinePunct w:val="0"/>
        <w:autoSpaceDE/>
        <w:autoSpaceDN/>
        <w:bidi w:val="0"/>
        <w:adjustRightInd/>
        <w:snapToGrid/>
        <w:spacing w:line="580" w:lineRule="exact"/>
        <w:textAlignment w:val="baseline"/>
        <w:outlineLvl w:val="9"/>
        <w:rPr>
          <w:rFonts w:hint="eastAsia" w:ascii="仿宋_GB2312" w:hAnsi="仿宋_GB2312" w:eastAsia="仿宋_GB2312" w:cs="仿宋_GB2312"/>
          <w:spacing w:val="8"/>
          <w:w w:val="97"/>
          <w:sz w:val="32"/>
          <w:szCs w:val="32"/>
        </w:rPr>
      </w:pPr>
      <w:r>
        <w:rPr>
          <w:rFonts w:hint="eastAsia" w:ascii="仿宋_GB2312" w:hAnsi="仿宋_GB2312" w:eastAsia="仿宋_GB2312" w:cs="仿宋_GB2312"/>
          <w:spacing w:val="8"/>
          <w:w w:val="97"/>
          <w:sz w:val="32"/>
          <w:szCs w:val="32"/>
        </w:rPr>
        <w:t xml:space="preserve">   （十九）承担规范旅游市场秩序、监督管理服务质量、维护旅游消费者和经营者合法权益的责任；规范全县旅游企业和从业人员的经营和服务行为；负责旅游安全的综合协调和监督管理，指导应急救援工作；指导旅游行业精神文明建设和诚信体系建设，指导行业组织的业务工作；负责全县国际旅游业务旅行社、外资旅行社及境外国际旅行社分支机构设立的审核、管理工作；负责全县国内旅游业务旅行社设立的审核、管理工作；组织拟订旅游区、旅游设施、旅游服务、旅游产品等方面的标准并组织实施；协同有关部门做好旅游交通、文化娱乐工作。</w:t>
      </w:r>
    </w:p>
    <w:p>
      <w:pPr>
        <w:keepNext w:val="0"/>
        <w:keepLines w:val="0"/>
        <w:pageBreakBefore w:val="0"/>
        <w:kinsoku/>
        <w:wordWrap/>
        <w:overflowPunct/>
        <w:topLinePunct w:val="0"/>
        <w:autoSpaceDE/>
        <w:autoSpaceDN/>
        <w:bidi w:val="0"/>
        <w:adjustRightInd/>
        <w:snapToGrid/>
        <w:spacing w:line="580" w:lineRule="exact"/>
        <w:textAlignment w:val="baseline"/>
        <w:outlineLvl w:val="9"/>
        <w:rPr>
          <w:rFonts w:hint="eastAsia" w:ascii="仿宋_GB2312" w:hAnsi="仿宋_GB2312" w:eastAsia="仿宋_GB2312" w:cs="仿宋_GB2312"/>
          <w:color w:val="000000"/>
          <w:spacing w:val="8"/>
          <w:w w:val="97"/>
          <w:kern w:val="0"/>
          <w:sz w:val="32"/>
          <w:szCs w:val="32"/>
        </w:rPr>
      </w:pPr>
      <w:r>
        <w:rPr>
          <w:rFonts w:hint="eastAsia" w:ascii="仿宋_GB2312" w:hAnsi="仿宋_GB2312" w:eastAsia="仿宋_GB2312" w:cs="仿宋_GB2312"/>
          <w:spacing w:val="8"/>
          <w:w w:val="97"/>
          <w:sz w:val="32"/>
          <w:szCs w:val="32"/>
        </w:rPr>
        <w:t xml:space="preserve">   （二十）推动全县旅游国际交流与合作，承担与国际旅游组织合作的相关事务；落实国家和省赴港澳台旅游政策，指导全县对港澳台旅游市场推广工作；制定并组织实施旅游人才规划，组织、指导全县旅游教育培训工作；会同有关部门指导实施旅游从业人员职业资格标准和等级标准。</w:t>
      </w:r>
    </w:p>
    <w:p>
      <w:pPr>
        <w:keepNext w:val="0"/>
        <w:keepLines w:val="0"/>
        <w:pageBreakBefore w:val="0"/>
        <w:widowControl/>
        <w:kinsoku/>
        <w:wordWrap/>
        <w:overflowPunct/>
        <w:topLinePunct w:val="0"/>
        <w:autoSpaceDE/>
        <w:autoSpaceDN/>
        <w:bidi w:val="0"/>
        <w:adjustRightInd/>
        <w:snapToGrid/>
        <w:spacing w:line="580" w:lineRule="exact"/>
        <w:jc w:val="left"/>
        <w:outlineLvl w:val="9"/>
        <w:rPr>
          <w:rFonts w:hint="eastAsia" w:ascii="宋体" w:hAnsi="宋体"/>
          <w:sz w:val="28"/>
          <w:szCs w:val="28"/>
        </w:rPr>
      </w:pPr>
      <w:r>
        <w:rPr>
          <w:rFonts w:hint="eastAsia" w:ascii="仿宋_GB2312" w:hAnsi="仿宋_GB2312" w:eastAsia="仿宋_GB2312" w:cs="仿宋_GB2312"/>
          <w:color w:val="000000"/>
          <w:spacing w:val="8"/>
          <w:w w:val="97"/>
          <w:kern w:val="0"/>
          <w:sz w:val="32"/>
          <w:szCs w:val="32"/>
        </w:rPr>
        <w:t xml:space="preserve">   （二十一）承办县政府交办的其他事项。</w:t>
      </w:r>
    </w:p>
    <w:p>
      <w:pPr>
        <w:rPr>
          <w:rFonts w:hint="eastAsia" w:ascii="宋体" w:hAnsi="宋体"/>
          <w:b/>
          <w:sz w:val="28"/>
          <w:szCs w:val="28"/>
        </w:rPr>
      </w:pPr>
      <w:r>
        <w:rPr>
          <w:rFonts w:hint="eastAsia" w:ascii="宋体" w:hAnsi="宋体"/>
          <w:b/>
          <w:sz w:val="28"/>
          <w:szCs w:val="28"/>
        </w:rPr>
        <w:t>二、部门预算单位构成（机构设置情况）</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纳入濮阳县文化广电旅游局201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年度部门</w:t>
      </w:r>
      <w:r>
        <w:rPr>
          <w:rFonts w:hint="eastAsia" w:ascii="仿宋_GB2312" w:hAnsi="仿宋_GB2312" w:eastAsia="仿宋_GB2312" w:cs="仿宋_GB2312"/>
          <w:sz w:val="28"/>
          <w:szCs w:val="28"/>
          <w:lang w:eastAsia="zh-CN"/>
        </w:rPr>
        <w:t>决算</w:t>
      </w:r>
      <w:r>
        <w:rPr>
          <w:rFonts w:hint="eastAsia" w:ascii="仿宋_GB2312" w:hAnsi="仿宋_GB2312" w:eastAsia="仿宋_GB2312" w:cs="仿宋_GB2312"/>
          <w:sz w:val="28"/>
          <w:szCs w:val="28"/>
        </w:rPr>
        <w:t>的单位包括：</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1、濮阳县文化广电旅游局本级</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2、濮阳县文化馆</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3、濮阳县濮阳县图书馆</w:t>
      </w:r>
    </w:p>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4、濮阳县文物管理所</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局本级内设办公室（政策法规股）、人事计财股、文化艺术与产业发展股、宣传股（总编室）、文化市场管理股、广播影视事业管理股、新闻出版管理股（扫黄打非办公室）、旅游文物管理股。</w:t>
      </w:r>
    </w:p>
    <w:p>
      <w:pPr>
        <w:jc w:val="left"/>
        <w:rPr>
          <w:rFonts w:hint="eastAsia" w:ascii="仿宋_GB2312" w:hAnsi="仿宋_GB2312" w:eastAsia="仿宋_GB2312" w:cs="仿宋_GB2312"/>
          <w:sz w:val="28"/>
          <w:szCs w:val="28"/>
          <w:lang w:val="en-US" w:eastAsia="zh-CN"/>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7"/>
        <w:tblW w:w="146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14"/>
        <w:gridCol w:w="575"/>
        <w:gridCol w:w="3435"/>
        <w:gridCol w:w="2950"/>
        <w:gridCol w:w="680"/>
        <w:gridCol w:w="3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9" w:hRule="atLeast"/>
        </w:trPr>
        <w:tc>
          <w:tcPr>
            <w:tcW w:w="3214" w:type="dxa"/>
            <w:shd w:val="clear" w:color="auto" w:fill="auto"/>
            <w:vAlign w:val="bottom"/>
          </w:tcPr>
          <w:p>
            <w:pPr>
              <w:rPr>
                <w:rFonts w:hint="eastAsia" w:ascii="Arial" w:hAnsi="Arial" w:cs="Arial"/>
                <w:i w:val="0"/>
                <w:color w:val="000000"/>
                <w:sz w:val="20"/>
                <w:szCs w:val="20"/>
                <w:u w:val="none"/>
              </w:rPr>
            </w:pPr>
          </w:p>
        </w:tc>
        <w:tc>
          <w:tcPr>
            <w:tcW w:w="575" w:type="dxa"/>
            <w:shd w:val="clear" w:color="auto" w:fill="auto"/>
            <w:vAlign w:val="bottom"/>
          </w:tcPr>
          <w:p>
            <w:pPr>
              <w:rPr>
                <w:rFonts w:hint="default" w:ascii="Arial" w:hAnsi="Arial" w:cs="Arial"/>
                <w:i w:val="0"/>
                <w:color w:val="000000"/>
                <w:sz w:val="20"/>
                <w:szCs w:val="20"/>
                <w:u w:val="none"/>
              </w:rPr>
            </w:pPr>
          </w:p>
        </w:tc>
        <w:tc>
          <w:tcPr>
            <w:tcW w:w="6385" w:type="dxa"/>
            <w:gridSpan w:val="2"/>
            <w:shd w:val="clear" w:color="auto" w:fill="auto"/>
            <w:vAlign w:val="bottom"/>
          </w:tcPr>
          <w:p>
            <w:pPr>
              <w:ind w:firstLine="2700" w:firstLineChars="9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c>
          <w:tcPr>
            <w:tcW w:w="680" w:type="dxa"/>
            <w:shd w:val="clear" w:color="auto" w:fill="auto"/>
            <w:vAlign w:val="bottom"/>
          </w:tcPr>
          <w:p>
            <w:pPr>
              <w:rPr>
                <w:rFonts w:hint="default" w:ascii="Arial" w:hAnsi="Arial" w:cs="Arial"/>
                <w:i w:val="0"/>
                <w:color w:val="000000"/>
                <w:sz w:val="20"/>
                <w:szCs w:val="20"/>
                <w:u w:val="none"/>
              </w:rPr>
            </w:pPr>
          </w:p>
        </w:tc>
        <w:tc>
          <w:tcPr>
            <w:tcW w:w="3765"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214" w:type="dxa"/>
            <w:shd w:val="clear" w:color="auto" w:fill="auto"/>
            <w:vAlign w:val="bottom"/>
          </w:tcPr>
          <w:p>
            <w:pPr>
              <w:rPr>
                <w:rFonts w:hint="default" w:ascii="Arial" w:hAnsi="Arial" w:cs="Arial"/>
                <w:i w:val="0"/>
                <w:color w:val="000000"/>
                <w:sz w:val="20"/>
                <w:szCs w:val="20"/>
                <w:u w:val="none"/>
              </w:rPr>
            </w:pPr>
          </w:p>
        </w:tc>
        <w:tc>
          <w:tcPr>
            <w:tcW w:w="575" w:type="dxa"/>
            <w:shd w:val="clear" w:color="auto" w:fill="auto"/>
            <w:vAlign w:val="bottom"/>
          </w:tcPr>
          <w:p>
            <w:pPr>
              <w:rPr>
                <w:rFonts w:hint="default" w:ascii="Arial" w:hAnsi="Arial" w:cs="Arial"/>
                <w:i w:val="0"/>
                <w:color w:val="000000"/>
                <w:sz w:val="20"/>
                <w:szCs w:val="20"/>
                <w:u w:val="none"/>
              </w:rPr>
            </w:pPr>
          </w:p>
        </w:tc>
        <w:tc>
          <w:tcPr>
            <w:tcW w:w="3435" w:type="dxa"/>
            <w:shd w:val="clear" w:color="auto" w:fill="auto"/>
            <w:vAlign w:val="bottom"/>
          </w:tcPr>
          <w:p>
            <w:pPr>
              <w:rPr>
                <w:rFonts w:hint="default" w:ascii="Arial" w:hAnsi="Arial" w:cs="Arial"/>
                <w:i w:val="0"/>
                <w:color w:val="000000"/>
                <w:sz w:val="20"/>
                <w:szCs w:val="20"/>
                <w:u w:val="none"/>
              </w:rPr>
            </w:pPr>
          </w:p>
        </w:tc>
        <w:tc>
          <w:tcPr>
            <w:tcW w:w="2950" w:type="dxa"/>
            <w:shd w:val="clear" w:color="auto" w:fill="auto"/>
            <w:vAlign w:val="bottom"/>
          </w:tcPr>
          <w:p>
            <w:pPr>
              <w:rPr>
                <w:rFonts w:hint="default" w:ascii="Arial" w:hAnsi="Arial" w:cs="Arial"/>
                <w:i w:val="0"/>
                <w:color w:val="000000"/>
                <w:sz w:val="20"/>
                <w:szCs w:val="20"/>
                <w:u w:val="none"/>
              </w:rPr>
            </w:pPr>
          </w:p>
        </w:tc>
        <w:tc>
          <w:tcPr>
            <w:tcW w:w="680" w:type="dxa"/>
            <w:shd w:val="clear" w:color="auto" w:fill="auto"/>
            <w:vAlign w:val="bottom"/>
          </w:tcPr>
          <w:p>
            <w:pPr>
              <w:rPr>
                <w:rFonts w:hint="default" w:ascii="Arial" w:hAnsi="Arial" w:cs="Arial"/>
                <w:i w:val="0"/>
                <w:color w:val="000000"/>
                <w:sz w:val="20"/>
                <w:szCs w:val="20"/>
                <w:u w:val="none"/>
              </w:rPr>
            </w:pPr>
          </w:p>
        </w:tc>
        <w:tc>
          <w:tcPr>
            <w:tcW w:w="376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214"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部门：濮阳县文化广电旅游局</w:t>
            </w:r>
          </w:p>
        </w:tc>
        <w:tc>
          <w:tcPr>
            <w:tcW w:w="575" w:type="dxa"/>
            <w:shd w:val="clear" w:color="auto" w:fill="auto"/>
            <w:vAlign w:val="bottom"/>
          </w:tcPr>
          <w:p>
            <w:pPr>
              <w:rPr>
                <w:rFonts w:hint="default" w:ascii="Arial" w:hAnsi="Arial" w:cs="Arial"/>
                <w:i w:val="0"/>
                <w:color w:val="000000"/>
                <w:sz w:val="20"/>
                <w:szCs w:val="20"/>
                <w:u w:val="none"/>
              </w:rPr>
            </w:pPr>
          </w:p>
        </w:tc>
        <w:tc>
          <w:tcPr>
            <w:tcW w:w="3435" w:type="dxa"/>
            <w:shd w:val="clear" w:color="auto" w:fill="auto"/>
            <w:vAlign w:val="bottom"/>
          </w:tcPr>
          <w:p>
            <w:pPr>
              <w:rPr>
                <w:rFonts w:hint="default" w:ascii="Arial" w:hAnsi="Arial" w:cs="Arial"/>
                <w:i w:val="0"/>
                <w:color w:val="000000"/>
                <w:sz w:val="20"/>
                <w:szCs w:val="20"/>
                <w:u w:val="none"/>
              </w:rPr>
            </w:pPr>
          </w:p>
        </w:tc>
        <w:tc>
          <w:tcPr>
            <w:tcW w:w="2950" w:type="dxa"/>
            <w:shd w:val="clear" w:color="auto" w:fill="auto"/>
            <w:vAlign w:val="bottom"/>
          </w:tcPr>
          <w:p>
            <w:pPr>
              <w:rPr>
                <w:rFonts w:hint="default" w:ascii="Arial" w:hAnsi="Arial" w:cs="Arial"/>
                <w:i w:val="0"/>
                <w:color w:val="000000"/>
                <w:sz w:val="20"/>
                <w:szCs w:val="20"/>
                <w:u w:val="none"/>
              </w:rPr>
            </w:pPr>
          </w:p>
        </w:tc>
        <w:tc>
          <w:tcPr>
            <w:tcW w:w="680" w:type="dxa"/>
            <w:shd w:val="clear" w:color="auto" w:fill="auto"/>
            <w:vAlign w:val="bottom"/>
          </w:tcPr>
          <w:p>
            <w:pPr>
              <w:rPr>
                <w:rFonts w:hint="default" w:ascii="Arial" w:hAnsi="Arial" w:cs="Arial"/>
                <w:i w:val="0"/>
                <w:color w:val="000000"/>
                <w:sz w:val="20"/>
                <w:szCs w:val="20"/>
                <w:u w:val="none"/>
              </w:rPr>
            </w:pPr>
          </w:p>
        </w:tc>
        <w:tc>
          <w:tcPr>
            <w:tcW w:w="376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2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收入</w:t>
            </w:r>
          </w:p>
        </w:tc>
        <w:tc>
          <w:tcPr>
            <w:tcW w:w="7395" w:type="dxa"/>
            <w:gridSpan w:val="3"/>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行次</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金额</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行次</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栏次</w:t>
            </w:r>
          </w:p>
        </w:tc>
        <w:tc>
          <w:tcPr>
            <w:tcW w:w="57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18"/>
                <w:szCs w:val="18"/>
                <w:highlight w:val="none"/>
                <w:u w:val="none"/>
              </w:rPr>
            </w:pP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栏次</w:t>
            </w:r>
          </w:p>
        </w:tc>
        <w:tc>
          <w:tcPr>
            <w:tcW w:w="68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18"/>
                <w:szCs w:val="18"/>
                <w:highlight w:val="none"/>
                <w:u w:val="none"/>
              </w:rPr>
            </w:pP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一、一般公共预算财政拨款收入</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3290</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92</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一、一般公共服务支出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29</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二、政府性基金预算财政拨款收入</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1123</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00</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二、外交支出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三、上级补助收入</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三、国防支出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31</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四、事业收入</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四、公共安全支出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32</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五、经营收入</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五、教育支出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33</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六、附属单位上缴收入</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六、科学技术支出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34</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七、其他收入</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7</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七、文化旅游体育与传媒支出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35</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3066</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八、社会保障和就业支出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36</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215</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3</w:t>
            </w:r>
            <w:r>
              <w:rPr>
                <w:rFonts w:hint="eastAsia" w:ascii="宋体" w:hAnsi="宋体" w:cs="宋体"/>
                <w:i w:val="0"/>
                <w:color w:val="000000"/>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九、卫生健康支出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37</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31</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十、节能环保支出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38</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11</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十一、城乡社区支出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39</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1100</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12</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十二、农林水支出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40</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13</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十三、交通运输支出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41</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14</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十四、资源勘探信息等支出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42</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15</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十五、商业服务业等支出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43</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16</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十六、金融支出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44</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17</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十七、援助其他地区支出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45</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18</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十八、自然资源海洋气象等支出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46</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19</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十九、住房保障支出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47</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二十、粮油物资储备支出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48</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二十一、灾害防治及应急管理支出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49</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22</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二十二、其他支出</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50</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w:t>
            </w:r>
          </w:p>
        </w:tc>
        <w:tc>
          <w:tcPr>
            <w:tcW w:w="343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18"/>
                <w:szCs w:val="18"/>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51</w:t>
            </w:r>
          </w:p>
        </w:tc>
        <w:tc>
          <w:tcPr>
            <w:tcW w:w="376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本年收入合计</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24</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4413</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92</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本年支出合计</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52</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4413</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用事业基金弥补收支差额</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25</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结余分配</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53</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年初结转和结余</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26</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年末结转和结余</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54</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27</w:t>
            </w:r>
          </w:p>
        </w:tc>
        <w:tc>
          <w:tcPr>
            <w:tcW w:w="343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1"/>
                <w:szCs w:val="21"/>
                <w:highlight w:val="none"/>
                <w:u w:val="none"/>
              </w:rPr>
            </w:pPr>
          </w:p>
        </w:tc>
        <w:tc>
          <w:tcPr>
            <w:tcW w:w="2950" w:type="dxa"/>
            <w:tcBorders>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18"/>
                <w:szCs w:val="18"/>
                <w:highlight w:val="none"/>
                <w:u w:val="none"/>
              </w:rPr>
            </w:pP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55</w:t>
            </w:r>
          </w:p>
        </w:tc>
        <w:tc>
          <w:tcPr>
            <w:tcW w:w="376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14"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总计</w:t>
            </w:r>
          </w:p>
        </w:tc>
        <w:tc>
          <w:tcPr>
            <w:tcW w:w="5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28</w:t>
            </w:r>
          </w:p>
        </w:tc>
        <w:tc>
          <w:tcPr>
            <w:tcW w:w="343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4413</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92</w:t>
            </w:r>
          </w:p>
        </w:tc>
        <w:tc>
          <w:tcPr>
            <w:tcW w:w="295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总计</w:t>
            </w:r>
          </w:p>
        </w:tc>
        <w:tc>
          <w:tcPr>
            <w:tcW w:w="6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56</w:t>
            </w:r>
          </w:p>
        </w:tc>
        <w:tc>
          <w:tcPr>
            <w:tcW w:w="37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4413</w:t>
            </w:r>
            <w:r>
              <w:rPr>
                <w:rFonts w:hint="eastAsia" w:ascii="宋体" w:hAnsi="宋体" w:cs="宋体"/>
                <w:i w:val="0"/>
                <w:color w:val="000000"/>
                <w:kern w:val="0"/>
                <w:sz w:val="21"/>
                <w:szCs w:val="21"/>
                <w:highlight w:val="none"/>
                <w:u w:val="none"/>
                <w:lang w:val="en-US" w:eastAsia="zh-CN" w:bidi="ar"/>
              </w:rPr>
              <w:t>.</w:t>
            </w:r>
            <w:r>
              <w:rPr>
                <w:rFonts w:hint="eastAsia" w:ascii="宋体" w:hAnsi="宋体" w:eastAsia="宋体" w:cs="宋体"/>
                <w:i w:val="0"/>
                <w:color w:val="000000"/>
                <w:kern w:val="0"/>
                <w:sz w:val="21"/>
                <w:szCs w:val="21"/>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619"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注：本表反映部门本年度的总收支和年末结转结余情况。本表金额转换为万元时，因四舍五入可能存在尾差。</w:t>
            </w:r>
          </w:p>
        </w:tc>
      </w:tr>
    </w:tbl>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52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9"/>
        <w:gridCol w:w="173"/>
        <w:gridCol w:w="173"/>
        <w:gridCol w:w="2184"/>
        <w:gridCol w:w="2730"/>
        <w:gridCol w:w="1860"/>
        <w:gridCol w:w="1166"/>
        <w:gridCol w:w="1155"/>
        <w:gridCol w:w="1200"/>
        <w:gridCol w:w="1564"/>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89" w:type="dxa"/>
            <w:shd w:val="clear" w:color="auto" w:fill="auto"/>
            <w:vAlign w:val="bottom"/>
          </w:tcPr>
          <w:p>
            <w:pPr>
              <w:rPr>
                <w:rFonts w:hint="eastAsia" w:ascii="Arial" w:hAnsi="Arial" w:cs="Arial"/>
                <w:i w:val="0"/>
                <w:color w:val="000000"/>
                <w:sz w:val="20"/>
                <w:szCs w:val="20"/>
                <w:u w:val="none"/>
              </w:rPr>
            </w:pPr>
          </w:p>
        </w:tc>
        <w:tc>
          <w:tcPr>
            <w:tcW w:w="173" w:type="dxa"/>
            <w:shd w:val="clear" w:color="auto" w:fill="auto"/>
            <w:vAlign w:val="bottom"/>
          </w:tcPr>
          <w:p>
            <w:pPr>
              <w:rPr>
                <w:rFonts w:hint="default" w:ascii="Arial" w:hAnsi="Arial" w:cs="Arial"/>
                <w:i w:val="0"/>
                <w:color w:val="000000"/>
                <w:sz w:val="20"/>
                <w:szCs w:val="20"/>
                <w:u w:val="none"/>
              </w:rPr>
            </w:pPr>
          </w:p>
        </w:tc>
        <w:tc>
          <w:tcPr>
            <w:tcW w:w="173" w:type="dxa"/>
            <w:shd w:val="clear" w:color="auto" w:fill="auto"/>
            <w:vAlign w:val="bottom"/>
          </w:tcPr>
          <w:p>
            <w:pPr>
              <w:rPr>
                <w:rFonts w:hint="default" w:ascii="Arial" w:hAnsi="Arial" w:cs="Arial"/>
                <w:i w:val="0"/>
                <w:color w:val="000000"/>
                <w:sz w:val="20"/>
                <w:szCs w:val="20"/>
                <w:u w:val="none"/>
              </w:rPr>
            </w:pPr>
          </w:p>
        </w:tc>
        <w:tc>
          <w:tcPr>
            <w:tcW w:w="2184" w:type="dxa"/>
            <w:shd w:val="clear" w:color="auto" w:fill="auto"/>
            <w:vAlign w:val="bottom"/>
          </w:tcPr>
          <w:p>
            <w:pPr>
              <w:rPr>
                <w:rFonts w:hint="default" w:ascii="Arial" w:hAnsi="Arial" w:cs="Arial"/>
                <w:i w:val="0"/>
                <w:color w:val="000000"/>
                <w:sz w:val="20"/>
                <w:szCs w:val="20"/>
                <w:u w:val="none"/>
              </w:rPr>
            </w:pPr>
          </w:p>
        </w:tc>
        <w:tc>
          <w:tcPr>
            <w:tcW w:w="6911" w:type="dxa"/>
            <w:gridSpan w:val="4"/>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c>
          <w:tcPr>
            <w:tcW w:w="1200" w:type="dxa"/>
            <w:shd w:val="clear" w:color="auto" w:fill="auto"/>
            <w:vAlign w:val="bottom"/>
          </w:tcPr>
          <w:p>
            <w:pPr>
              <w:rPr>
                <w:rFonts w:hint="default" w:ascii="Arial" w:hAnsi="Arial" w:cs="Arial"/>
                <w:i w:val="0"/>
                <w:color w:val="000000"/>
                <w:sz w:val="20"/>
                <w:szCs w:val="20"/>
                <w:u w:val="none"/>
              </w:rPr>
            </w:pPr>
          </w:p>
        </w:tc>
        <w:tc>
          <w:tcPr>
            <w:tcW w:w="1564" w:type="dxa"/>
            <w:shd w:val="clear" w:color="auto" w:fill="auto"/>
            <w:vAlign w:val="bottom"/>
          </w:tcPr>
          <w:p>
            <w:pPr>
              <w:rPr>
                <w:rFonts w:hint="default" w:ascii="Arial" w:hAnsi="Arial" w:cs="Arial"/>
                <w:i w:val="0"/>
                <w:color w:val="000000"/>
                <w:sz w:val="20"/>
                <w:szCs w:val="20"/>
                <w:u w:val="none"/>
              </w:rPr>
            </w:pPr>
          </w:p>
        </w:tc>
        <w:tc>
          <w:tcPr>
            <w:tcW w:w="1665"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389" w:type="dxa"/>
            <w:shd w:val="clear" w:color="auto" w:fill="auto"/>
            <w:vAlign w:val="bottom"/>
          </w:tcPr>
          <w:p>
            <w:pPr>
              <w:rPr>
                <w:rFonts w:hint="default" w:ascii="Arial" w:hAnsi="Arial" w:cs="Arial"/>
                <w:i w:val="0"/>
                <w:color w:val="000000"/>
                <w:sz w:val="20"/>
                <w:szCs w:val="20"/>
                <w:u w:val="none"/>
              </w:rPr>
            </w:pPr>
          </w:p>
        </w:tc>
        <w:tc>
          <w:tcPr>
            <w:tcW w:w="173" w:type="dxa"/>
            <w:shd w:val="clear" w:color="auto" w:fill="auto"/>
            <w:vAlign w:val="bottom"/>
          </w:tcPr>
          <w:p>
            <w:pPr>
              <w:rPr>
                <w:rFonts w:hint="default" w:ascii="Arial" w:hAnsi="Arial" w:cs="Arial"/>
                <w:i w:val="0"/>
                <w:color w:val="000000"/>
                <w:sz w:val="20"/>
                <w:szCs w:val="20"/>
                <w:u w:val="none"/>
              </w:rPr>
            </w:pPr>
          </w:p>
        </w:tc>
        <w:tc>
          <w:tcPr>
            <w:tcW w:w="173" w:type="dxa"/>
            <w:shd w:val="clear" w:color="auto" w:fill="auto"/>
            <w:vAlign w:val="bottom"/>
          </w:tcPr>
          <w:p>
            <w:pPr>
              <w:rPr>
                <w:rFonts w:hint="default" w:ascii="Arial" w:hAnsi="Arial" w:cs="Arial"/>
                <w:i w:val="0"/>
                <w:color w:val="000000"/>
                <w:sz w:val="20"/>
                <w:szCs w:val="20"/>
                <w:u w:val="none"/>
              </w:rPr>
            </w:pPr>
          </w:p>
        </w:tc>
        <w:tc>
          <w:tcPr>
            <w:tcW w:w="2184" w:type="dxa"/>
            <w:shd w:val="clear" w:color="auto" w:fill="auto"/>
            <w:vAlign w:val="bottom"/>
          </w:tcPr>
          <w:p>
            <w:pPr>
              <w:rPr>
                <w:rFonts w:hint="default" w:ascii="Arial" w:hAnsi="Arial" w:cs="Arial"/>
                <w:i w:val="0"/>
                <w:color w:val="000000"/>
                <w:sz w:val="20"/>
                <w:szCs w:val="20"/>
                <w:u w:val="none"/>
              </w:rPr>
            </w:pPr>
          </w:p>
        </w:tc>
        <w:tc>
          <w:tcPr>
            <w:tcW w:w="2730" w:type="dxa"/>
            <w:shd w:val="clear" w:color="auto" w:fill="auto"/>
            <w:vAlign w:val="bottom"/>
          </w:tcPr>
          <w:p>
            <w:pPr>
              <w:rPr>
                <w:rFonts w:hint="default" w:ascii="Arial" w:hAnsi="Arial" w:cs="Arial"/>
                <w:i w:val="0"/>
                <w:color w:val="000000"/>
                <w:sz w:val="20"/>
                <w:szCs w:val="20"/>
                <w:u w:val="none"/>
              </w:rPr>
            </w:pPr>
          </w:p>
        </w:tc>
        <w:tc>
          <w:tcPr>
            <w:tcW w:w="1860" w:type="dxa"/>
            <w:shd w:val="clear" w:color="auto" w:fill="auto"/>
            <w:vAlign w:val="bottom"/>
          </w:tcPr>
          <w:p>
            <w:pPr>
              <w:rPr>
                <w:rFonts w:hint="default" w:ascii="Arial" w:hAnsi="Arial" w:cs="Arial"/>
                <w:i w:val="0"/>
                <w:color w:val="000000"/>
                <w:sz w:val="20"/>
                <w:szCs w:val="20"/>
                <w:u w:val="none"/>
              </w:rPr>
            </w:pPr>
          </w:p>
        </w:tc>
        <w:tc>
          <w:tcPr>
            <w:tcW w:w="1166" w:type="dxa"/>
            <w:shd w:val="clear" w:color="auto" w:fill="auto"/>
            <w:vAlign w:val="bottom"/>
          </w:tcPr>
          <w:p>
            <w:pPr>
              <w:rPr>
                <w:rFonts w:hint="default" w:ascii="Arial" w:hAnsi="Arial" w:cs="Arial"/>
                <w:i w:val="0"/>
                <w:color w:val="000000"/>
                <w:sz w:val="20"/>
                <w:szCs w:val="20"/>
                <w:u w:val="none"/>
              </w:rPr>
            </w:pPr>
          </w:p>
        </w:tc>
        <w:tc>
          <w:tcPr>
            <w:tcW w:w="1155" w:type="dxa"/>
            <w:shd w:val="clear" w:color="auto" w:fill="auto"/>
            <w:vAlign w:val="bottom"/>
          </w:tcPr>
          <w:p>
            <w:pPr>
              <w:rPr>
                <w:rFonts w:hint="default" w:ascii="Arial" w:hAnsi="Arial" w:cs="Arial"/>
                <w:i w:val="0"/>
                <w:color w:val="000000"/>
                <w:sz w:val="20"/>
                <w:szCs w:val="20"/>
                <w:u w:val="none"/>
              </w:rPr>
            </w:pPr>
          </w:p>
        </w:tc>
        <w:tc>
          <w:tcPr>
            <w:tcW w:w="1200" w:type="dxa"/>
            <w:shd w:val="clear" w:color="auto" w:fill="auto"/>
            <w:vAlign w:val="bottom"/>
          </w:tcPr>
          <w:p>
            <w:pPr>
              <w:rPr>
                <w:rFonts w:hint="default" w:ascii="Arial" w:hAnsi="Arial" w:cs="Arial"/>
                <w:i w:val="0"/>
                <w:color w:val="000000"/>
                <w:sz w:val="20"/>
                <w:szCs w:val="20"/>
                <w:u w:val="none"/>
              </w:rPr>
            </w:pPr>
          </w:p>
        </w:tc>
        <w:tc>
          <w:tcPr>
            <w:tcW w:w="1564" w:type="dxa"/>
            <w:shd w:val="clear" w:color="auto" w:fill="auto"/>
            <w:vAlign w:val="bottom"/>
          </w:tcPr>
          <w:p>
            <w:pPr>
              <w:rPr>
                <w:rFonts w:hint="default" w:ascii="Arial" w:hAnsi="Arial" w:cs="Arial"/>
                <w:i w:val="0"/>
                <w:color w:val="000000"/>
                <w:sz w:val="20"/>
                <w:szCs w:val="20"/>
                <w:u w:val="none"/>
              </w:rPr>
            </w:pPr>
          </w:p>
        </w:tc>
        <w:tc>
          <w:tcPr>
            <w:tcW w:w="166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919"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部门：濮阳县文化广电旅游局</w:t>
            </w:r>
          </w:p>
        </w:tc>
        <w:tc>
          <w:tcPr>
            <w:tcW w:w="2730" w:type="dxa"/>
            <w:shd w:val="clear" w:color="auto" w:fill="auto"/>
            <w:vAlign w:val="bottom"/>
          </w:tcPr>
          <w:p>
            <w:pPr>
              <w:rPr>
                <w:rFonts w:hint="default" w:ascii="Arial" w:hAnsi="Arial" w:cs="Arial"/>
                <w:i w:val="0"/>
                <w:color w:val="000000"/>
                <w:sz w:val="20"/>
                <w:szCs w:val="20"/>
                <w:u w:val="none"/>
              </w:rPr>
            </w:pPr>
          </w:p>
        </w:tc>
        <w:tc>
          <w:tcPr>
            <w:tcW w:w="1860" w:type="dxa"/>
            <w:shd w:val="clear" w:color="auto" w:fill="auto"/>
            <w:vAlign w:val="bottom"/>
          </w:tcPr>
          <w:p>
            <w:pPr>
              <w:rPr>
                <w:rFonts w:hint="default" w:ascii="Arial" w:hAnsi="Arial" w:cs="Arial"/>
                <w:i w:val="0"/>
                <w:color w:val="000000"/>
                <w:sz w:val="20"/>
                <w:szCs w:val="20"/>
                <w:u w:val="none"/>
              </w:rPr>
            </w:pPr>
          </w:p>
        </w:tc>
        <w:tc>
          <w:tcPr>
            <w:tcW w:w="1166" w:type="dxa"/>
            <w:shd w:val="clear" w:color="auto" w:fill="auto"/>
            <w:vAlign w:val="bottom"/>
          </w:tcPr>
          <w:p>
            <w:pPr>
              <w:rPr>
                <w:rFonts w:hint="default" w:ascii="Arial" w:hAnsi="Arial" w:cs="Arial"/>
                <w:i w:val="0"/>
                <w:color w:val="000000"/>
                <w:sz w:val="20"/>
                <w:szCs w:val="20"/>
                <w:u w:val="none"/>
              </w:rPr>
            </w:pPr>
          </w:p>
        </w:tc>
        <w:tc>
          <w:tcPr>
            <w:tcW w:w="1155" w:type="dxa"/>
            <w:shd w:val="clear" w:color="auto" w:fill="auto"/>
            <w:vAlign w:val="bottom"/>
          </w:tcPr>
          <w:p>
            <w:pPr>
              <w:rPr>
                <w:rFonts w:hint="default" w:ascii="Arial" w:hAnsi="Arial" w:cs="Arial"/>
                <w:i w:val="0"/>
                <w:color w:val="000000"/>
                <w:sz w:val="20"/>
                <w:szCs w:val="20"/>
                <w:u w:val="none"/>
              </w:rPr>
            </w:pPr>
          </w:p>
        </w:tc>
        <w:tc>
          <w:tcPr>
            <w:tcW w:w="1200" w:type="dxa"/>
            <w:shd w:val="clear" w:color="auto" w:fill="auto"/>
            <w:vAlign w:val="bottom"/>
          </w:tcPr>
          <w:p>
            <w:pPr>
              <w:rPr>
                <w:rFonts w:hint="default" w:ascii="Arial" w:hAnsi="Arial" w:cs="Arial"/>
                <w:i w:val="0"/>
                <w:color w:val="000000"/>
                <w:sz w:val="20"/>
                <w:szCs w:val="20"/>
                <w:u w:val="none"/>
              </w:rPr>
            </w:pPr>
          </w:p>
        </w:tc>
        <w:tc>
          <w:tcPr>
            <w:tcW w:w="1564" w:type="dxa"/>
            <w:shd w:val="clear" w:color="auto" w:fill="auto"/>
            <w:vAlign w:val="bottom"/>
          </w:tcPr>
          <w:p>
            <w:pPr>
              <w:rPr>
                <w:rFonts w:hint="default" w:ascii="Arial" w:hAnsi="Arial" w:cs="Arial"/>
                <w:i w:val="0"/>
                <w:color w:val="000000"/>
                <w:sz w:val="20"/>
                <w:szCs w:val="20"/>
                <w:u w:val="none"/>
              </w:rPr>
            </w:pPr>
          </w:p>
        </w:tc>
        <w:tc>
          <w:tcPr>
            <w:tcW w:w="166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91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73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86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166"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155"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20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564"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65"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35" w:type="dxa"/>
            <w:gridSpan w:val="3"/>
            <w:vMerge w:val="restart"/>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184"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73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86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66"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64"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35" w:type="dxa"/>
            <w:gridSpan w:val="3"/>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84"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18"/>
                <w:szCs w:val="18"/>
                <w:u w:val="none"/>
              </w:rPr>
            </w:pPr>
          </w:p>
        </w:tc>
        <w:tc>
          <w:tcPr>
            <w:tcW w:w="273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86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66"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64"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735" w:type="dxa"/>
            <w:gridSpan w:val="3"/>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84"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18"/>
                <w:szCs w:val="18"/>
                <w:u w:val="none"/>
              </w:rPr>
            </w:pPr>
          </w:p>
        </w:tc>
        <w:tc>
          <w:tcPr>
            <w:tcW w:w="273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86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66"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64"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919" w:type="dxa"/>
            <w:gridSpan w:val="4"/>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73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w:t>
            </w:r>
          </w:p>
        </w:tc>
        <w:tc>
          <w:tcPr>
            <w:tcW w:w="18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w:t>
            </w:r>
          </w:p>
        </w:tc>
        <w:tc>
          <w:tcPr>
            <w:tcW w:w="1166"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w:t>
            </w:r>
          </w:p>
        </w:tc>
        <w:tc>
          <w:tcPr>
            <w:tcW w:w="11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4</w:t>
            </w:r>
          </w:p>
        </w:tc>
        <w:tc>
          <w:tcPr>
            <w:tcW w:w="120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5</w:t>
            </w:r>
          </w:p>
        </w:tc>
        <w:tc>
          <w:tcPr>
            <w:tcW w:w="156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6</w:t>
            </w:r>
          </w:p>
        </w:tc>
        <w:tc>
          <w:tcPr>
            <w:tcW w:w="16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919" w:type="dxa"/>
            <w:gridSpan w:val="4"/>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73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4413</w:t>
            </w:r>
            <w:r>
              <w:rPr>
                <w:rFonts w:hint="eastAsia" w:ascii="宋体" w:hAnsi="宋体" w:cs="宋体"/>
                <w:b w:val="0"/>
                <w:bCs w:val="0"/>
                <w:i w:val="0"/>
                <w:color w:val="000000"/>
                <w:kern w:val="0"/>
                <w:sz w:val="22"/>
                <w:szCs w:val="22"/>
                <w:u w:val="none"/>
                <w:lang w:val="en-US" w:eastAsia="zh-CN" w:bidi="ar"/>
              </w:rPr>
              <w:t>.</w:t>
            </w:r>
            <w:r>
              <w:rPr>
                <w:rFonts w:hint="eastAsia" w:ascii="宋体" w:hAnsi="宋体" w:eastAsia="宋体" w:cs="宋体"/>
                <w:b w:val="0"/>
                <w:bCs w:val="0"/>
                <w:i w:val="0"/>
                <w:color w:val="000000"/>
                <w:kern w:val="0"/>
                <w:sz w:val="22"/>
                <w:szCs w:val="22"/>
                <w:u w:val="none"/>
                <w:lang w:val="en-US" w:eastAsia="zh-CN" w:bidi="ar"/>
              </w:rPr>
              <w:t>92</w:t>
            </w:r>
          </w:p>
        </w:tc>
        <w:tc>
          <w:tcPr>
            <w:tcW w:w="18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4413</w:t>
            </w:r>
            <w:r>
              <w:rPr>
                <w:rFonts w:hint="eastAsia" w:ascii="宋体" w:hAnsi="宋体" w:cs="宋体"/>
                <w:b w:val="0"/>
                <w:bCs w:val="0"/>
                <w:i w:val="0"/>
                <w:color w:val="000000"/>
                <w:kern w:val="0"/>
                <w:sz w:val="22"/>
                <w:szCs w:val="22"/>
                <w:u w:val="none"/>
                <w:lang w:val="en-US" w:eastAsia="zh-CN" w:bidi="ar"/>
              </w:rPr>
              <w:t>.</w:t>
            </w:r>
            <w:r>
              <w:rPr>
                <w:rFonts w:hint="eastAsia" w:ascii="宋体" w:hAnsi="宋体" w:eastAsia="宋体" w:cs="宋体"/>
                <w:b w:val="0"/>
                <w:bCs w:val="0"/>
                <w:i w:val="0"/>
                <w:color w:val="000000"/>
                <w:kern w:val="0"/>
                <w:sz w:val="22"/>
                <w:szCs w:val="22"/>
                <w:u w:val="none"/>
                <w:lang w:val="en-US" w:eastAsia="zh-CN" w:bidi="ar"/>
              </w:rPr>
              <w:t>92</w:t>
            </w:r>
          </w:p>
        </w:tc>
        <w:tc>
          <w:tcPr>
            <w:tcW w:w="1166"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文化旅游体育与传媒支出</w:t>
            </w:r>
          </w:p>
        </w:tc>
        <w:tc>
          <w:tcPr>
            <w:tcW w:w="273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8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166"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文化和旅游</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2070101</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2070102</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2070104</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图书馆</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2070106</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艺术表演场所</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2070108</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文化活动</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群众文化</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2070112</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文化和旅游市场管理</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2070113</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旅游宣传</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2070199</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其他文化和旅游支出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2070201</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2070202</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2070299</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其他文物支出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20707</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国家电影事业发展专项资金安排的支出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2070701</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资助国产影片放映</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2070804</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广播</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20709</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旅游发展基金支出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2070904</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地方旅游开发项目补助</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行政事业单位离退休</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16</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16</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75</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75</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7</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7</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死亡抚恤</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7</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7</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行政单位医疗</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44</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44</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事业单位医疗</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16</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16</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国有土地使用权出让收入及对应专项债务收入安排的支出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7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21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农村基础设施建设支出</w:t>
            </w:r>
          </w:p>
        </w:tc>
        <w:tc>
          <w:tcPr>
            <w:tcW w:w="27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8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16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5259"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48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
      <w:tblGrid>
        <w:gridCol w:w="1361"/>
        <w:gridCol w:w="58"/>
        <w:gridCol w:w="58"/>
        <w:gridCol w:w="3784"/>
        <w:gridCol w:w="1898"/>
        <w:gridCol w:w="1845"/>
        <w:gridCol w:w="1590"/>
        <w:gridCol w:w="1125"/>
        <w:gridCol w:w="1005"/>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90" w:hRule="atLeast"/>
        </w:trPr>
        <w:tc>
          <w:tcPr>
            <w:tcW w:w="14884" w:type="dxa"/>
            <w:gridSpan w:val="10"/>
            <w:shd w:val="clear" w:color="auto" w:fill="FFFFFF" w:themeFill="background1"/>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361" w:type="dxa"/>
            <w:shd w:val="clear" w:color="auto" w:fill="FFFFFF" w:themeFill="background1"/>
            <w:vAlign w:val="bottom"/>
          </w:tcPr>
          <w:p>
            <w:pPr>
              <w:rPr>
                <w:rFonts w:hint="default" w:ascii="Arial" w:hAnsi="Arial" w:cs="Arial"/>
                <w:i w:val="0"/>
                <w:color w:val="000000"/>
                <w:sz w:val="20"/>
                <w:szCs w:val="20"/>
                <w:u w:val="none"/>
              </w:rPr>
            </w:pPr>
          </w:p>
        </w:tc>
        <w:tc>
          <w:tcPr>
            <w:tcW w:w="58" w:type="dxa"/>
            <w:shd w:val="clear" w:color="auto" w:fill="FFFFFF" w:themeFill="background1"/>
            <w:vAlign w:val="bottom"/>
          </w:tcPr>
          <w:p>
            <w:pPr>
              <w:rPr>
                <w:rFonts w:hint="default" w:ascii="Arial" w:hAnsi="Arial" w:cs="Arial"/>
                <w:i w:val="0"/>
                <w:color w:val="000000"/>
                <w:sz w:val="20"/>
                <w:szCs w:val="20"/>
                <w:u w:val="none"/>
              </w:rPr>
            </w:pPr>
          </w:p>
        </w:tc>
        <w:tc>
          <w:tcPr>
            <w:tcW w:w="58" w:type="dxa"/>
            <w:shd w:val="clear" w:color="auto" w:fill="FFFFFF" w:themeFill="background1"/>
            <w:vAlign w:val="bottom"/>
          </w:tcPr>
          <w:p>
            <w:pPr>
              <w:rPr>
                <w:rFonts w:hint="default" w:ascii="Arial" w:hAnsi="Arial" w:cs="Arial"/>
                <w:i w:val="0"/>
                <w:color w:val="000000"/>
                <w:sz w:val="20"/>
                <w:szCs w:val="20"/>
                <w:u w:val="none"/>
              </w:rPr>
            </w:pPr>
          </w:p>
        </w:tc>
        <w:tc>
          <w:tcPr>
            <w:tcW w:w="3784" w:type="dxa"/>
            <w:shd w:val="clear" w:color="auto" w:fill="FFFFFF" w:themeFill="background1"/>
            <w:vAlign w:val="bottom"/>
          </w:tcPr>
          <w:p>
            <w:pPr>
              <w:rPr>
                <w:rFonts w:hint="default" w:ascii="Arial" w:hAnsi="Arial" w:cs="Arial"/>
                <w:i w:val="0"/>
                <w:color w:val="000000"/>
                <w:sz w:val="20"/>
                <w:szCs w:val="20"/>
                <w:u w:val="none"/>
              </w:rPr>
            </w:pPr>
          </w:p>
        </w:tc>
        <w:tc>
          <w:tcPr>
            <w:tcW w:w="1898" w:type="dxa"/>
            <w:shd w:val="clear" w:color="auto" w:fill="FFFFFF" w:themeFill="background1"/>
            <w:vAlign w:val="bottom"/>
          </w:tcPr>
          <w:p>
            <w:pPr>
              <w:rPr>
                <w:rFonts w:hint="default" w:ascii="Arial" w:hAnsi="Arial" w:cs="Arial"/>
                <w:i w:val="0"/>
                <w:color w:val="000000"/>
                <w:sz w:val="20"/>
                <w:szCs w:val="20"/>
                <w:u w:val="none"/>
              </w:rPr>
            </w:pPr>
          </w:p>
        </w:tc>
        <w:tc>
          <w:tcPr>
            <w:tcW w:w="1845" w:type="dxa"/>
            <w:shd w:val="clear" w:color="auto" w:fill="FFFFFF" w:themeFill="background1"/>
            <w:vAlign w:val="bottom"/>
          </w:tcPr>
          <w:p>
            <w:pPr>
              <w:rPr>
                <w:rFonts w:hint="default" w:ascii="Arial" w:hAnsi="Arial" w:cs="Arial"/>
                <w:i w:val="0"/>
                <w:color w:val="000000"/>
                <w:sz w:val="20"/>
                <w:szCs w:val="20"/>
                <w:u w:val="none"/>
              </w:rPr>
            </w:pPr>
          </w:p>
        </w:tc>
        <w:tc>
          <w:tcPr>
            <w:tcW w:w="1590" w:type="dxa"/>
            <w:shd w:val="clear" w:color="auto" w:fill="FFFFFF" w:themeFill="background1"/>
            <w:vAlign w:val="bottom"/>
          </w:tcPr>
          <w:p>
            <w:pPr>
              <w:rPr>
                <w:rFonts w:hint="default" w:ascii="Arial" w:hAnsi="Arial" w:cs="Arial"/>
                <w:i w:val="0"/>
                <w:color w:val="000000"/>
                <w:sz w:val="20"/>
                <w:szCs w:val="20"/>
                <w:u w:val="none"/>
              </w:rPr>
            </w:pPr>
          </w:p>
        </w:tc>
        <w:tc>
          <w:tcPr>
            <w:tcW w:w="1125" w:type="dxa"/>
            <w:shd w:val="clear" w:color="auto" w:fill="FFFFFF" w:themeFill="background1"/>
            <w:vAlign w:val="bottom"/>
          </w:tcPr>
          <w:p>
            <w:pPr>
              <w:rPr>
                <w:rFonts w:hint="default" w:ascii="Arial" w:hAnsi="Arial" w:cs="Arial"/>
                <w:i w:val="0"/>
                <w:color w:val="000000"/>
                <w:sz w:val="20"/>
                <w:szCs w:val="20"/>
                <w:u w:val="none"/>
              </w:rPr>
            </w:pPr>
          </w:p>
        </w:tc>
        <w:tc>
          <w:tcPr>
            <w:tcW w:w="1005" w:type="dxa"/>
            <w:shd w:val="clear" w:color="auto" w:fill="FFFFFF" w:themeFill="background1"/>
            <w:vAlign w:val="bottom"/>
          </w:tcPr>
          <w:p>
            <w:pPr>
              <w:rPr>
                <w:rFonts w:hint="default" w:ascii="Arial" w:hAnsi="Arial" w:cs="Arial"/>
                <w:i w:val="0"/>
                <w:color w:val="000000"/>
                <w:sz w:val="20"/>
                <w:szCs w:val="20"/>
                <w:u w:val="none"/>
              </w:rPr>
            </w:pPr>
          </w:p>
        </w:tc>
        <w:tc>
          <w:tcPr>
            <w:tcW w:w="2160" w:type="dxa"/>
            <w:shd w:val="clear" w:color="auto" w:fill="FFFFFF" w:themeFill="background1"/>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261" w:type="dxa"/>
            <w:gridSpan w:val="4"/>
            <w:shd w:val="clear" w:color="auto" w:fill="FFFFFF" w:themeFill="background1"/>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部门：濮阳县文化广电旅游局</w:t>
            </w:r>
          </w:p>
        </w:tc>
        <w:tc>
          <w:tcPr>
            <w:tcW w:w="1898" w:type="dxa"/>
            <w:shd w:val="clear" w:color="auto" w:fill="FFFFFF" w:themeFill="background1"/>
            <w:vAlign w:val="bottom"/>
          </w:tcPr>
          <w:p>
            <w:pPr>
              <w:rPr>
                <w:rFonts w:hint="default" w:ascii="Arial" w:hAnsi="Arial" w:cs="Arial"/>
                <w:i w:val="0"/>
                <w:color w:val="000000"/>
                <w:sz w:val="20"/>
                <w:szCs w:val="20"/>
                <w:u w:val="none"/>
              </w:rPr>
            </w:pPr>
          </w:p>
        </w:tc>
        <w:tc>
          <w:tcPr>
            <w:tcW w:w="1845" w:type="dxa"/>
            <w:shd w:val="clear" w:color="auto" w:fill="FFFFFF" w:themeFill="background1"/>
            <w:vAlign w:val="bottom"/>
          </w:tcPr>
          <w:p>
            <w:pPr>
              <w:rPr>
                <w:rFonts w:hint="default" w:ascii="Arial" w:hAnsi="Arial" w:cs="Arial"/>
                <w:i w:val="0"/>
                <w:color w:val="000000"/>
                <w:sz w:val="20"/>
                <w:szCs w:val="20"/>
                <w:u w:val="none"/>
              </w:rPr>
            </w:pPr>
          </w:p>
        </w:tc>
        <w:tc>
          <w:tcPr>
            <w:tcW w:w="1590" w:type="dxa"/>
            <w:shd w:val="clear" w:color="auto" w:fill="FFFFFF" w:themeFill="background1"/>
            <w:vAlign w:val="bottom"/>
          </w:tcPr>
          <w:p>
            <w:pPr>
              <w:rPr>
                <w:rFonts w:hint="default" w:ascii="Arial" w:hAnsi="Arial" w:cs="Arial"/>
                <w:i w:val="0"/>
                <w:color w:val="000000"/>
                <w:sz w:val="20"/>
                <w:szCs w:val="20"/>
                <w:u w:val="none"/>
              </w:rPr>
            </w:pPr>
          </w:p>
        </w:tc>
        <w:tc>
          <w:tcPr>
            <w:tcW w:w="1125" w:type="dxa"/>
            <w:shd w:val="clear" w:color="auto" w:fill="FFFFFF" w:themeFill="background1"/>
            <w:vAlign w:val="bottom"/>
          </w:tcPr>
          <w:p>
            <w:pPr>
              <w:rPr>
                <w:rFonts w:hint="default" w:ascii="Arial" w:hAnsi="Arial" w:cs="Arial"/>
                <w:i w:val="0"/>
                <w:color w:val="000000"/>
                <w:sz w:val="20"/>
                <w:szCs w:val="20"/>
                <w:u w:val="none"/>
              </w:rPr>
            </w:pPr>
          </w:p>
        </w:tc>
        <w:tc>
          <w:tcPr>
            <w:tcW w:w="1005" w:type="dxa"/>
            <w:shd w:val="clear" w:color="auto" w:fill="FFFFFF" w:themeFill="background1"/>
            <w:vAlign w:val="bottom"/>
          </w:tcPr>
          <w:p>
            <w:pPr>
              <w:rPr>
                <w:rFonts w:hint="default" w:ascii="Arial" w:hAnsi="Arial" w:cs="Arial"/>
                <w:i w:val="0"/>
                <w:color w:val="000000"/>
                <w:sz w:val="20"/>
                <w:szCs w:val="20"/>
                <w:u w:val="none"/>
              </w:rPr>
            </w:pPr>
          </w:p>
        </w:tc>
        <w:tc>
          <w:tcPr>
            <w:tcW w:w="2160" w:type="dxa"/>
            <w:shd w:val="clear" w:color="auto" w:fill="FFFFFF" w:themeFill="background1"/>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261"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98"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845"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9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25"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005"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216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77" w:type="dxa"/>
            <w:gridSpan w:val="3"/>
            <w:vMerge w:val="restart"/>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84"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98"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84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6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77" w:type="dxa"/>
            <w:gridSpan w:val="3"/>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3784"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898"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84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6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77" w:type="dxa"/>
            <w:gridSpan w:val="3"/>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3784"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898"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84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6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261" w:type="dxa"/>
            <w:gridSpan w:val="4"/>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261" w:type="dxa"/>
            <w:gridSpan w:val="4"/>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4413</w:t>
            </w:r>
            <w:r>
              <w:rPr>
                <w:rFonts w:hint="eastAsia" w:ascii="宋体" w:hAnsi="宋体" w:cs="宋体"/>
                <w:b w:val="0"/>
                <w:bCs w:val="0"/>
                <w:i w:val="0"/>
                <w:color w:val="000000"/>
                <w:kern w:val="0"/>
                <w:sz w:val="22"/>
                <w:szCs w:val="22"/>
                <w:u w:val="none"/>
                <w:lang w:val="en-US" w:eastAsia="zh-CN" w:bidi="ar"/>
              </w:rPr>
              <w:t>.</w:t>
            </w:r>
            <w:r>
              <w:rPr>
                <w:rFonts w:hint="eastAsia" w:ascii="宋体" w:hAnsi="宋体" w:eastAsia="宋体" w:cs="宋体"/>
                <w:b w:val="0"/>
                <w:bCs w:val="0"/>
                <w:i w:val="0"/>
                <w:color w:val="000000"/>
                <w:kern w:val="0"/>
                <w:sz w:val="22"/>
                <w:szCs w:val="22"/>
                <w:u w:val="none"/>
                <w:lang w:val="en-US" w:eastAsia="zh-CN" w:bidi="ar"/>
              </w:rPr>
              <w:t>92</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3144</w:t>
            </w:r>
            <w:r>
              <w:rPr>
                <w:rFonts w:hint="eastAsia" w:ascii="宋体" w:hAnsi="宋体" w:cs="宋体"/>
                <w:b w:val="0"/>
                <w:bCs/>
                <w:i w:val="0"/>
                <w:color w:val="000000"/>
                <w:kern w:val="0"/>
                <w:sz w:val="22"/>
                <w:szCs w:val="22"/>
                <w:u w:val="none"/>
                <w:lang w:val="en-US" w:eastAsia="zh-CN" w:bidi="ar"/>
              </w:rPr>
              <w:t>.</w:t>
            </w:r>
            <w:r>
              <w:rPr>
                <w:rFonts w:hint="eastAsia" w:ascii="宋体" w:hAnsi="宋体" w:eastAsia="宋体" w:cs="宋体"/>
                <w:b w:val="0"/>
                <w:bCs/>
                <w:i w:val="0"/>
                <w:color w:val="000000"/>
                <w:kern w:val="0"/>
                <w:sz w:val="22"/>
                <w:szCs w:val="22"/>
                <w:u w:val="none"/>
                <w:lang w:val="en-US" w:eastAsia="zh-CN" w:bidi="ar"/>
              </w:rPr>
              <w:t>92</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1269.00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2070101</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2070102</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2070104</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图书馆</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2070106</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艺术表演场所</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2070108</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文化活动</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2070112</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文化和旅游市场管理</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2070113</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旅游宣传</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2070199</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2070201</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2070202</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2070299</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其他文物支出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20707</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国家电影事业发展专项资金安排的支出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2070701</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资助国产影片放映</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广播电视</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2070804</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广播</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20709</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旅游发展基金支出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2070904</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地方旅游开发项目补助</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16</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16</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75</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75</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7</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7</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7</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7</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44</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44</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16</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16</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7"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37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898"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84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884" w:type="dxa"/>
            <w:gridSpan w:val="10"/>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7"/>
        <w:tblW w:w="141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
      <w:tblGrid>
        <w:gridCol w:w="2569"/>
        <w:gridCol w:w="675"/>
        <w:gridCol w:w="1965"/>
        <w:gridCol w:w="3180"/>
        <w:gridCol w:w="660"/>
        <w:gridCol w:w="1395"/>
        <w:gridCol w:w="1425"/>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90" w:hRule="atLeast"/>
        </w:trPr>
        <w:tc>
          <w:tcPr>
            <w:tcW w:w="14149" w:type="dxa"/>
            <w:gridSpan w:val="8"/>
            <w:shd w:val="clear" w:color="auto" w:fill="FFFFFF" w:themeFill="background1"/>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69" w:type="dxa"/>
            <w:shd w:val="clear" w:color="auto" w:fill="FFFFFF" w:themeFill="background1"/>
            <w:vAlign w:val="bottom"/>
          </w:tcPr>
          <w:p>
            <w:pPr>
              <w:rPr>
                <w:rFonts w:hint="default" w:ascii="Arial" w:hAnsi="Arial" w:cs="Arial"/>
                <w:i w:val="0"/>
                <w:color w:val="000000"/>
                <w:sz w:val="20"/>
                <w:szCs w:val="20"/>
                <w:u w:val="none"/>
              </w:rPr>
            </w:pPr>
          </w:p>
        </w:tc>
        <w:tc>
          <w:tcPr>
            <w:tcW w:w="675" w:type="dxa"/>
            <w:shd w:val="clear" w:color="auto" w:fill="FFFFFF" w:themeFill="background1"/>
            <w:vAlign w:val="bottom"/>
          </w:tcPr>
          <w:p>
            <w:pPr>
              <w:rPr>
                <w:rFonts w:hint="default" w:ascii="Arial" w:hAnsi="Arial" w:cs="Arial"/>
                <w:i w:val="0"/>
                <w:color w:val="000000"/>
                <w:sz w:val="20"/>
                <w:szCs w:val="20"/>
                <w:u w:val="none"/>
              </w:rPr>
            </w:pPr>
          </w:p>
        </w:tc>
        <w:tc>
          <w:tcPr>
            <w:tcW w:w="1965" w:type="dxa"/>
            <w:shd w:val="clear" w:color="auto" w:fill="FFFFFF" w:themeFill="background1"/>
            <w:vAlign w:val="bottom"/>
          </w:tcPr>
          <w:p>
            <w:pPr>
              <w:rPr>
                <w:rFonts w:hint="default" w:ascii="Arial" w:hAnsi="Arial" w:cs="Arial"/>
                <w:i w:val="0"/>
                <w:color w:val="000000"/>
                <w:sz w:val="20"/>
                <w:szCs w:val="20"/>
                <w:u w:val="none"/>
              </w:rPr>
            </w:pPr>
          </w:p>
        </w:tc>
        <w:tc>
          <w:tcPr>
            <w:tcW w:w="3180" w:type="dxa"/>
            <w:shd w:val="clear" w:color="auto" w:fill="FFFFFF" w:themeFill="background1"/>
            <w:vAlign w:val="bottom"/>
          </w:tcPr>
          <w:p>
            <w:pPr>
              <w:rPr>
                <w:rFonts w:hint="default" w:ascii="Arial" w:hAnsi="Arial" w:cs="Arial"/>
                <w:i w:val="0"/>
                <w:color w:val="000000"/>
                <w:sz w:val="20"/>
                <w:szCs w:val="20"/>
                <w:u w:val="none"/>
              </w:rPr>
            </w:pPr>
          </w:p>
        </w:tc>
        <w:tc>
          <w:tcPr>
            <w:tcW w:w="660" w:type="dxa"/>
            <w:shd w:val="clear" w:color="auto" w:fill="FFFFFF" w:themeFill="background1"/>
            <w:vAlign w:val="bottom"/>
          </w:tcPr>
          <w:p>
            <w:pPr>
              <w:rPr>
                <w:rFonts w:hint="default" w:ascii="Arial" w:hAnsi="Arial" w:cs="Arial"/>
                <w:i w:val="0"/>
                <w:color w:val="000000"/>
                <w:sz w:val="20"/>
                <w:szCs w:val="20"/>
                <w:u w:val="none"/>
              </w:rPr>
            </w:pPr>
          </w:p>
        </w:tc>
        <w:tc>
          <w:tcPr>
            <w:tcW w:w="1395" w:type="dxa"/>
            <w:shd w:val="clear" w:color="auto" w:fill="FFFFFF" w:themeFill="background1"/>
            <w:vAlign w:val="bottom"/>
          </w:tcPr>
          <w:p>
            <w:pPr>
              <w:rPr>
                <w:rFonts w:hint="default" w:ascii="Arial" w:hAnsi="Arial" w:cs="Arial"/>
                <w:i w:val="0"/>
                <w:color w:val="000000"/>
                <w:sz w:val="20"/>
                <w:szCs w:val="20"/>
                <w:u w:val="none"/>
              </w:rPr>
            </w:pPr>
          </w:p>
        </w:tc>
        <w:tc>
          <w:tcPr>
            <w:tcW w:w="1425" w:type="dxa"/>
            <w:shd w:val="clear" w:color="auto" w:fill="FFFFFF" w:themeFill="background1"/>
            <w:vAlign w:val="bottom"/>
          </w:tcPr>
          <w:p>
            <w:pPr>
              <w:rPr>
                <w:rFonts w:hint="default" w:ascii="Arial" w:hAnsi="Arial" w:cs="Arial"/>
                <w:i w:val="0"/>
                <w:color w:val="000000"/>
                <w:sz w:val="20"/>
                <w:szCs w:val="20"/>
                <w:u w:val="none"/>
              </w:rPr>
            </w:pPr>
          </w:p>
        </w:tc>
        <w:tc>
          <w:tcPr>
            <w:tcW w:w="2280" w:type="dxa"/>
            <w:shd w:val="clear" w:color="auto" w:fill="FFFFFF" w:themeFill="background1"/>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389" w:type="dxa"/>
            <w:gridSpan w:val="4"/>
            <w:shd w:val="clear" w:color="auto" w:fill="FFFFFF" w:themeFill="background1"/>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部门：濮阳县文化广电旅游局</w:t>
            </w:r>
          </w:p>
        </w:tc>
        <w:tc>
          <w:tcPr>
            <w:tcW w:w="660" w:type="dxa"/>
            <w:shd w:val="clear" w:color="auto" w:fill="FFFFFF" w:themeFill="background1"/>
            <w:vAlign w:val="bottom"/>
          </w:tcPr>
          <w:p>
            <w:pPr>
              <w:rPr>
                <w:rFonts w:hint="default" w:ascii="Arial" w:hAnsi="Arial" w:cs="Arial"/>
                <w:i w:val="0"/>
                <w:color w:val="000000"/>
                <w:sz w:val="20"/>
                <w:szCs w:val="20"/>
                <w:u w:val="none"/>
              </w:rPr>
            </w:pPr>
          </w:p>
        </w:tc>
        <w:tc>
          <w:tcPr>
            <w:tcW w:w="1395" w:type="dxa"/>
            <w:shd w:val="clear" w:color="auto" w:fill="FFFFFF" w:themeFill="background1"/>
            <w:vAlign w:val="bottom"/>
          </w:tcPr>
          <w:p>
            <w:pPr>
              <w:rPr>
                <w:rFonts w:hint="default" w:ascii="Arial" w:hAnsi="Arial" w:cs="Arial"/>
                <w:i w:val="0"/>
                <w:color w:val="000000"/>
                <w:sz w:val="20"/>
                <w:szCs w:val="20"/>
                <w:u w:val="none"/>
              </w:rPr>
            </w:pPr>
          </w:p>
        </w:tc>
        <w:tc>
          <w:tcPr>
            <w:tcW w:w="1425" w:type="dxa"/>
            <w:shd w:val="clear" w:color="auto" w:fill="FFFFFF" w:themeFill="background1"/>
            <w:vAlign w:val="bottom"/>
          </w:tcPr>
          <w:p>
            <w:pPr>
              <w:rPr>
                <w:rFonts w:hint="default" w:ascii="Arial" w:hAnsi="Arial" w:cs="Arial"/>
                <w:i w:val="0"/>
                <w:color w:val="000000"/>
                <w:sz w:val="20"/>
                <w:szCs w:val="20"/>
                <w:u w:val="none"/>
              </w:rPr>
            </w:pPr>
          </w:p>
        </w:tc>
        <w:tc>
          <w:tcPr>
            <w:tcW w:w="2280" w:type="dxa"/>
            <w:shd w:val="clear" w:color="auto" w:fill="FFFFFF" w:themeFill="background1"/>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2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40" w:type="dxa"/>
            <w:gridSpan w:val="5"/>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569" w:type="dxa"/>
            <w:vMerge w:val="restart"/>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965"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180"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60"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95"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5"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280"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569"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675"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965"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318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66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395"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425"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28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7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9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6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3290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2</w:t>
            </w: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1123.00</w:t>
            </w: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96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9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42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28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9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92</w:t>
            </w: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92</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92</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9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9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80" w:type="dxa"/>
            <w:tcBorders>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39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42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28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9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80" w:type="dxa"/>
            <w:tcBorders>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9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42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28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96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3180" w:type="dxa"/>
            <w:tcBorders>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9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42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28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56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7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96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92</w:t>
            </w:r>
          </w:p>
        </w:tc>
        <w:tc>
          <w:tcPr>
            <w:tcW w:w="31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9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92</w:t>
            </w:r>
          </w:p>
        </w:tc>
        <w:tc>
          <w:tcPr>
            <w:tcW w:w="14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92</w:t>
            </w:r>
          </w:p>
        </w:tc>
        <w:tc>
          <w:tcPr>
            <w:tcW w:w="22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149" w:type="dxa"/>
            <w:gridSpan w:val="8"/>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4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66"/>
        <w:gridCol w:w="58"/>
        <w:gridCol w:w="480"/>
        <w:gridCol w:w="3720"/>
        <w:gridCol w:w="3000"/>
        <w:gridCol w:w="2805"/>
        <w:gridCol w:w="3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4614" w:type="dxa"/>
            <w:gridSpan w:val="7"/>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266" w:type="dxa"/>
            <w:shd w:val="clear" w:color="auto" w:fill="auto"/>
            <w:vAlign w:val="bottom"/>
          </w:tcPr>
          <w:p>
            <w:pPr>
              <w:rPr>
                <w:rFonts w:hint="default" w:ascii="Arial" w:hAnsi="Arial" w:cs="Arial"/>
                <w:i w:val="0"/>
                <w:color w:val="000000"/>
                <w:sz w:val="20"/>
                <w:szCs w:val="20"/>
                <w:u w:val="none"/>
              </w:rPr>
            </w:pPr>
          </w:p>
        </w:tc>
        <w:tc>
          <w:tcPr>
            <w:tcW w:w="58" w:type="dxa"/>
            <w:shd w:val="clear" w:color="auto" w:fill="auto"/>
            <w:vAlign w:val="bottom"/>
          </w:tcPr>
          <w:p>
            <w:pPr>
              <w:rPr>
                <w:rFonts w:hint="default" w:ascii="Arial" w:hAnsi="Arial" w:cs="Arial"/>
                <w:i w:val="0"/>
                <w:color w:val="000000"/>
                <w:sz w:val="20"/>
                <w:szCs w:val="20"/>
                <w:u w:val="none"/>
              </w:rPr>
            </w:pPr>
          </w:p>
        </w:tc>
        <w:tc>
          <w:tcPr>
            <w:tcW w:w="480" w:type="dxa"/>
            <w:shd w:val="clear" w:color="auto" w:fill="auto"/>
            <w:vAlign w:val="bottom"/>
          </w:tcPr>
          <w:p>
            <w:pPr>
              <w:rPr>
                <w:rFonts w:hint="default" w:ascii="Arial" w:hAnsi="Arial" w:cs="Arial"/>
                <w:i w:val="0"/>
                <w:color w:val="000000"/>
                <w:sz w:val="20"/>
                <w:szCs w:val="20"/>
                <w:u w:val="none"/>
              </w:rPr>
            </w:pPr>
          </w:p>
        </w:tc>
        <w:tc>
          <w:tcPr>
            <w:tcW w:w="3720" w:type="dxa"/>
            <w:shd w:val="clear" w:color="auto" w:fill="auto"/>
            <w:vAlign w:val="bottom"/>
          </w:tcPr>
          <w:p>
            <w:pPr>
              <w:rPr>
                <w:rFonts w:hint="default" w:ascii="Arial" w:hAnsi="Arial" w:cs="Arial"/>
                <w:i w:val="0"/>
                <w:color w:val="000000"/>
                <w:sz w:val="20"/>
                <w:szCs w:val="20"/>
                <w:u w:val="none"/>
              </w:rPr>
            </w:pPr>
          </w:p>
        </w:tc>
        <w:tc>
          <w:tcPr>
            <w:tcW w:w="3000" w:type="dxa"/>
            <w:shd w:val="clear" w:color="auto" w:fill="auto"/>
            <w:vAlign w:val="bottom"/>
          </w:tcPr>
          <w:p>
            <w:pPr>
              <w:rPr>
                <w:rFonts w:hint="default" w:ascii="Arial" w:hAnsi="Arial" w:cs="Arial"/>
                <w:i w:val="0"/>
                <w:color w:val="000000"/>
                <w:sz w:val="20"/>
                <w:szCs w:val="20"/>
                <w:u w:val="none"/>
              </w:rPr>
            </w:pPr>
          </w:p>
        </w:tc>
        <w:tc>
          <w:tcPr>
            <w:tcW w:w="2805" w:type="dxa"/>
            <w:shd w:val="clear" w:color="auto" w:fill="auto"/>
            <w:vAlign w:val="bottom"/>
          </w:tcPr>
          <w:p>
            <w:pPr>
              <w:rPr>
                <w:rFonts w:hint="default" w:ascii="Arial" w:hAnsi="Arial" w:cs="Arial"/>
                <w:i w:val="0"/>
                <w:color w:val="000000"/>
                <w:sz w:val="20"/>
                <w:szCs w:val="20"/>
                <w:u w:val="none"/>
              </w:rPr>
            </w:pPr>
          </w:p>
        </w:tc>
        <w:tc>
          <w:tcPr>
            <w:tcW w:w="328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524" w:type="dxa"/>
            <w:gridSpan w:val="5"/>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部门：濮阳县文化广电旅游局</w:t>
            </w:r>
          </w:p>
        </w:tc>
        <w:tc>
          <w:tcPr>
            <w:tcW w:w="2805" w:type="dxa"/>
            <w:shd w:val="clear" w:color="auto" w:fill="auto"/>
            <w:vAlign w:val="bottom"/>
          </w:tcPr>
          <w:p>
            <w:pPr>
              <w:rPr>
                <w:rFonts w:hint="default" w:ascii="Arial" w:hAnsi="Arial" w:cs="Arial"/>
                <w:i w:val="0"/>
                <w:color w:val="000000"/>
                <w:sz w:val="20"/>
                <w:szCs w:val="20"/>
                <w:u w:val="none"/>
              </w:rPr>
            </w:pPr>
          </w:p>
        </w:tc>
        <w:tc>
          <w:tcPr>
            <w:tcW w:w="328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52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090" w:type="dxa"/>
            <w:gridSpan w:val="3"/>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04" w:type="dxa"/>
            <w:gridSpan w:val="3"/>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2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00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80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28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804"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72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00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280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28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804"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72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00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280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28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524" w:type="dxa"/>
            <w:gridSpan w:val="4"/>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00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0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524" w:type="dxa"/>
            <w:gridSpan w:val="4"/>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0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3290</w:t>
            </w:r>
            <w:r>
              <w:rPr>
                <w:rFonts w:hint="eastAsia" w:ascii="宋体" w:hAnsi="宋体" w:cs="宋体"/>
                <w:b w:val="0"/>
                <w:bCs/>
                <w:i w:val="0"/>
                <w:color w:val="000000"/>
                <w:kern w:val="0"/>
                <w:sz w:val="22"/>
                <w:szCs w:val="22"/>
                <w:u w:val="none"/>
                <w:lang w:val="en-US" w:eastAsia="zh-CN" w:bidi="ar"/>
              </w:rPr>
              <w:t>.</w:t>
            </w:r>
            <w:r>
              <w:rPr>
                <w:rFonts w:hint="eastAsia" w:ascii="宋体" w:hAnsi="宋体" w:eastAsia="宋体" w:cs="宋体"/>
                <w:b w:val="0"/>
                <w:bCs/>
                <w:i w:val="0"/>
                <w:color w:val="000000"/>
                <w:kern w:val="0"/>
                <w:sz w:val="22"/>
                <w:szCs w:val="22"/>
                <w:u w:val="none"/>
                <w:lang w:val="en-US" w:eastAsia="zh-CN" w:bidi="ar"/>
              </w:rPr>
              <w:t>92</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lang w:val="en-US"/>
              </w:rPr>
            </w:pPr>
            <w:r>
              <w:rPr>
                <w:rFonts w:hint="eastAsia" w:ascii="宋体" w:hAnsi="宋体" w:cs="宋体"/>
                <w:b w:val="0"/>
                <w:bCs/>
                <w:i w:val="0"/>
                <w:color w:val="000000"/>
                <w:kern w:val="0"/>
                <w:sz w:val="22"/>
                <w:szCs w:val="22"/>
                <w:u w:val="none"/>
                <w:lang w:val="en-US" w:eastAsia="zh-CN" w:bidi="ar"/>
              </w:rPr>
              <w:t>3138.92</w:t>
            </w:r>
          </w:p>
        </w:tc>
        <w:tc>
          <w:tcPr>
            <w:tcW w:w="32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lang w:val="en-US"/>
              </w:rPr>
            </w:pPr>
            <w:r>
              <w:rPr>
                <w:rFonts w:hint="eastAsia" w:ascii="宋体" w:hAnsi="宋体" w:cs="宋体"/>
                <w:b w:val="0"/>
                <w:bCs/>
                <w:i w:val="0"/>
                <w:color w:val="000000"/>
                <w:kern w:val="0"/>
                <w:sz w:val="22"/>
                <w:szCs w:val="22"/>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99</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2891.99</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2675.99</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2543.99</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2070101</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1217</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2070102</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132</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2070104</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图书馆</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185</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185</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2070106</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艺术表演场所</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2070108</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文化活动</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112</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112</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429</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429</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2070112</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文化和旅游市场管理</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66</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66</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2070113</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旅游宣传</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174</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174</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2070199</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353.99</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353.99</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91</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71</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2070201</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65</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65</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2070202</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20</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20</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2070299</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其他文物支出</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广播电视</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277</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2070804</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广播</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277</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277</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215.33</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215.33</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192.16</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192.16</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139.41</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139.41</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52.75</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52.75</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23.17</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23.17</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23.17</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23.17</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31.6</w:t>
            </w:r>
            <w:r>
              <w:rPr>
                <w:rFonts w:hint="eastAsia" w:ascii="宋体" w:hAnsi="宋体" w:eastAsia="宋体" w:cs="宋体"/>
                <w:i w:val="0"/>
                <w:color w:val="000000"/>
                <w:kern w:val="0"/>
                <w:sz w:val="22"/>
                <w:szCs w:val="22"/>
                <w:u w:val="none"/>
                <w:lang w:val="en-US" w:eastAsia="zh-CN" w:bidi="ar"/>
              </w:rPr>
              <w:t>0</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31.60</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31.60</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31.60</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7.44</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7.44</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8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72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24.16</w:t>
            </w:r>
          </w:p>
        </w:tc>
        <w:tc>
          <w:tcPr>
            <w:tcW w:w="28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24.16</w:t>
            </w:r>
          </w:p>
        </w:tc>
        <w:tc>
          <w:tcPr>
            <w:tcW w:w="32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614"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5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4"/>
        <w:gridCol w:w="3110"/>
        <w:gridCol w:w="1450"/>
        <w:gridCol w:w="735"/>
        <w:gridCol w:w="2055"/>
        <w:gridCol w:w="1801"/>
        <w:gridCol w:w="735"/>
        <w:gridCol w:w="3239"/>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5450" w:type="dxa"/>
            <w:gridSpan w:val="9"/>
            <w:shd w:val="clear" w:color="auto" w:fill="FFFFFF"/>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6"/>
                <w:szCs w:val="36"/>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14" w:type="dxa"/>
            <w:shd w:val="clear" w:color="auto" w:fill="FFFFFF"/>
            <w:vAlign w:val="bottom"/>
          </w:tcPr>
          <w:p>
            <w:pPr>
              <w:rPr>
                <w:rFonts w:hint="default" w:ascii="Arial" w:hAnsi="Arial" w:cs="Arial"/>
                <w:i w:val="0"/>
                <w:color w:val="000000"/>
                <w:sz w:val="18"/>
                <w:szCs w:val="18"/>
                <w:u w:val="none"/>
              </w:rPr>
            </w:pPr>
          </w:p>
        </w:tc>
        <w:tc>
          <w:tcPr>
            <w:tcW w:w="3110" w:type="dxa"/>
            <w:shd w:val="clear" w:color="auto" w:fill="FFFFFF"/>
            <w:vAlign w:val="bottom"/>
          </w:tcPr>
          <w:p>
            <w:pPr>
              <w:rPr>
                <w:rFonts w:hint="default" w:ascii="Arial" w:hAnsi="Arial" w:cs="Arial"/>
                <w:i w:val="0"/>
                <w:color w:val="000000"/>
                <w:sz w:val="18"/>
                <w:szCs w:val="18"/>
                <w:u w:val="none"/>
              </w:rPr>
            </w:pPr>
          </w:p>
        </w:tc>
        <w:tc>
          <w:tcPr>
            <w:tcW w:w="1450" w:type="dxa"/>
            <w:shd w:val="clear" w:color="auto" w:fill="FFFFFF"/>
            <w:vAlign w:val="bottom"/>
          </w:tcPr>
          <w:p>
            <w:pPr>
              <w:jc w:val="center"/>
              <w:rPr>
                <w:rFonts w:hint="default" w:ascii="Arial" w:hAnsi="Arial" w:cs="Arial"/>
                <w:i w:val="0"/>
                <w:color w:val="000000"/>
                <w:sz w:val="18"/>
                <w:szCs w:val="18"/>
                <w:u w:val="none"/>
              </w:rPr>
            </w:pPr>
          </w:p>
        </w:tc>
        <w:tc>
          <w:tcPr>
            <w:tcW w:w="735" w:type="dxa"/>
            <w:shd w:val="clear" w:color="auto" w:fill="FFFFFF"/>
            <w:vAlign w:val="bottom"/>
          </w:tcPr>
          <w:p>
            <w:pPr>
              <w:rPr>
                <w:rFonts w:hint="default" w:ascii="Arial" w:hAnsi="Arial" w:cs="Arial"/>
                <w:i w:val="0"/>
                <w:color w:val="000000"/>
                <w:sz w:val="20"/>
                <w:szCs w:val="20"/>
                <w:u w:val="none"/>
              </w:rPr>
            </w:pPr>
          </w:p>
        </w:tc>
        <w:tc>
          <w:tcPr>
            <w:tcW w:w="2055" w:type="dxa"/>
            <w:shd w:val="clear" w:color="auto" w:fill="FFFFFF"/>
            <w:vAlign w:val="bottom"/>
          </w:tcPr>
          <w:p>
            <w:pPr>
              <w:rPr>
                <w:rFonts w:hint="default" w:ascii="Arial" w:hAnsi="Arial" w:cs="Arial"/>
                <w:i w:val="0"/>
                <w:color w:val="000000"/>
                <w:sz w:val="18"/>
                <w:szCs w:val="18"/>
                <w:u w:val="none"/>
              </w:rPr>
            </w:pPr>
          </w:p>
        </w:tc>
        <w:tc>
          <w:tcPr>
            <w:tcW w:w="1801" w:type="dxa"/>
            <w:shd w:val="clear" w:color="auto" w:fill="FFFFFF"/>
            <w:vAlign w:val="bottom"/>
          </w:tcPr>
          <w:p>
            <w:pPr>
              <w:jc w:val="center"/>
              <w:rPr>
                <w:rFonts w:hint="default" w:ascii="Arial" w:hAnsi="Arial" w:cs="Arial"/>
                <w:i w:val="0"/>
                <w:color w:val="000000"/>
                <w:sz w:val="18"/>
                <w:szCs w:val="18"/>
                <w:u w:val="none"/>
              </w:rPr>
            </w:pPr>
          </w:p>
        </w:tc>
        <w:tc>
          <w:tcPr>
            <w:tcW w:w="735" w:type="dxa"/>
            <w:shd w:val="clear" w:color="auto" w:fill="FFFFFF"/>
            <w:vAlign w:val="bottom"/>
          </w:tcPr>
          <w:p>
            <w:pPr>
              <w:rPr>
                <w:rFonts w:hint="default" w:ascii="Arial" w:hAnsi="Arial" w:cs="Arial"/>
                <w:i w:val="0"/>
                <w:color w:val="000000"/>
                <w:sz w:val="20"/>
                <w:szCs w:val="20"/>
                <w:u w:val="none"/>
              </w:rPr>
            </w:pPr>
          </w:p>
        </w:tc>
        <w:tc>
          <w:tcPr>
            <w:tcW w:w="3239" w:type="dxa"/>
            <w:shd w:val="clear" w:color="auto" w:fill="FFFFFF"/>
            <w:vAlign w:val="bottom"/>
          </w:tcPr>
          <w:p>
            <w:pPr>
              <w:rPr>
                <w:rFonts w:hint="default" w:ascii="Arial" w:hAnsi="Arial" w:cs="Arial"/>
                <w:i w:val="0"/>
                <w:color w:val="000000"/>
                <w:sz w:val="18"/>
                <w:szCs w:val="18"/>
                <w:u w:val="none"/>
              </w:rPr>
            </w:pPr>
          </w:p>
        </w:tc>
        <w:tc>
          <w:tcPr>
            <w:tcW w:w="1711"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909" w:type="dxa"/>
            <w:gridSpan w:val="4"/>
            <w:shd w:val="clear" w:color="auto" w:fill="FFFFFF"/>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18"/>
                <w:szCs w:val="18"/>
                <w:u w:val="none"/>
                <w:lang w:val="en-US" w:eastAsia="zh-CN" w:bidi="ar"/>
              </w:rPr>
              <w:t>部门：濮阳县文化广电旅游局</w:t>
            </w:r>
          </w:p>
        </w:tc>
        <w:tc>
          <w:tcPr>
            <w:tcW w:w="2055" w:type="dxa"/>
            <w:shd w:val="clear" w:color="auto" w:fill="FFFFFF"/>
            <w:vAlign w:val="bottom"/>
          </w:tcPr>
          <w:p>
            <w:pPr>
              <w:rPr>
                <w:rFonts w:hint="default" w:ascii="Arial" w:hAnsi="Arial" w:cs="Arial"/>
                <w:i w:val="0"/>
                <w:color w:val="000000"/>
                <w:sz w:val="18"/>
                <w:szCs w:val="18"/>
                <w:u w:val="none"/>
              </w:rPr>
            </w:pPr>
          </w:p>
        </w:tc>
        <w:tc>
          <w:tcPr>
            <w:tcW w:w="1801" w:type="dxa"/>
            <w:shd w:val="clear" w:color="auto" w:fill="FFFFFF"/>
            <w:vAlign w:val="bottom"/>
          </w:tcPr>
          <w:p>
            <w:pPr>
              <w:jc w:val="center"/>
              <w:rPr>
                <w:rFonts w:hint="default" w:ascii="Arial" w:hAnsi="Arial" w:cs="Arial"/>
                <w:i w:val="0"/>
                <w:color w:val="000000"/>
                <w:sz w:val="18"/>
                <w:szCs w:val="18"/>
                <w:u w:val="none"/>
              </w:rPr>
            </w:pPr>
          </w:p>
        </w:tc>
        <w:tc>
          <w:tcPr>
            <w:tcW w:w="735" w:type="dxa"/>
            <w:shd w:val="clear" w:color="auto" w:fill="FFFFFF"/>
            <w:vAlign w:val="bottom"/>
          </w:tcPr>
          <w:p>
            <w:pPr>
              <w:rPr>
                <w:rFonts w:hint="default" w:ascii="Arial" w:hAnsi="Arial" w:cs="Arial"/>
                <w:i w:val="0"/>
                <w:color w:val="000000"/>
                <w:sz w:val="20"/>
                <w:szCs w:val="20"/>
                <w:u w:val="none"/>
              </w:rPr>
            </w:pPr>
          </w:p>
        </w:tc>
        <w:tc>
          <w:tcPr>
            <w:tcW w:w="3239" w:type="dxa"/>
            <w:shd w:val="clear" w:color="auto" w:fill="FFFFFF"/>
            <w:vAlign w:val="bottom"/>
          </w:tcPr>
          <w:p>
            <w:pPr>
              <w:rPr>
                <w:rFonts w:hint="default" w:ascii="Arial" w:hAnsi="Arial" w:cs="Arial"/>
                <w:i w:val="0"/>
                <w:color w:val="000000"/>
                <w:sz w:val="18"/>
                <w:szCs w:val="18"/>
                <w:u w:val="none"/>
              </w:rPr>
            </w:pPr>
          </w:p>
        </w:tc>
        <w:tc>
          <w:tcPr>
            <w:tcW w:w="1711"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w:t>
            </w:r>
            <w:r>
              <w:rPr>
                <w:rFonts w:hint="eastAsia" w:ascii="宋体" w:hAnsi="宋体" w:cs="宋体"/>
                <w:i w:val="0"/>
                <w:color w:val="000000"/>
                <w:kern w:val="0"/>
                <w:sz w:val="18"/>
                <w:szCs w:val="18"/>
                <w:u w:val="none"/>
                <w:lang w:val="en-US" w:eastAsia="zh-CN" w:bidi="ar"/>
              </w:rPr>
              <w:t>万</w:t>
            </w:r>
            <w:r>
              <w:rPr>
                <w:rFonts w:hint="eastAsia" w:ascii="宋体" w:hAnsi="宋体" w:eastAsia="宋体" w:cs="宋体"/>
                <w:i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174"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10276" w:type="dxa"/>
            <w:gridSpan w:val="6"/>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4" w:type="dxa"/>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11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45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73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5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801"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73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239"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711"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4"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11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5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205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801"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73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239"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711"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1993.25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1069.75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债务利息及费用支出</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1223.97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43.86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162.17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18.10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0.20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436.11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3.20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139.41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12.24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7.96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0.15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0.50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31.60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22.42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30114</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7.60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37.30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75.92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1.76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2.10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23.17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无形资产购置</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43.73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350.30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医疗费补助</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540.99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3.92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国家赔偿费用支出</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0.30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个人农业生产补贴</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1.30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239"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311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9.02 </w:t>
            </w: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15.55 </w:t>
            </w:r>
          </w:p>
        </w:tc>
        <w:tc>
          <w:tcPr>
            <w:tcW w:w="73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3239"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7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311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3239"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7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311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p>
        </w:tc>
        <w:tc>
          <w:tcPr>
            <w:tcW w:w="7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05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801"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0.00 </w:t>
            </w:r>
          </w:p>
        </w:tc>
        <w:tc>
          <w:tcPr>
            <w:tcW w:w="73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3239"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7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724"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人员经费合计</w:t>
            </w:r>
          </w:p>
        </w:tc>
        <w:tc>
          <w:tcPr>
            <w:tcW w:w="1450" w:type="dxa"/>
            <w:tcBorders>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default" w:ascii="Arial" w:hAnsi="Arial" w:eastAsia="宋体" w:cs="Arial"/>
                <w:i w:val="0"/>
                <w:color w:val="000000"/>
                <w:kern w:val="0"/>
                <w:sz w:val="20"/>
                <w:szCs w:val="20"/>
                <w:u w:val="none"/>
                <w:lang w:val="en-US" w:eastAsia="zh-CN" w:bidi="ar"/>
              </w:rPr>
              <w:t xml:space="preserve">2069.17 </w:t>
            </w:r>
          </w:p>
        </w:tc>
        <w:tc>
          <w:tcPr>
            <w:tcW w:w="8565" w:type="dxa"/>
            <w:gridSpan w:val="5"/>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71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1069</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5450" w:type="dxa"/>
            <w:gridSpan w:val="9"/>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7"/>
        <w:tblW w:w="150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7"/>
        <w:gridCol w:w="922"/>
        <w:gridCol w:w="890"/>
        <w:gridCol w:w="1235"/>
        <w:gridCol w:w="840"/>
        <w:gridCol w:w="1044"/>
        <w:gridCol w:w="1551"/>
        <w:gridCol w:w="1365"/>
        <w:gridCol w:w="1215"/>
        <w:gridCol w:w="1185"/>
        <w:gridCol w:w="141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5064" w:type="dxa"/>
            <w:gridSpan w:val="12"/>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277" w:type="dxa"/>
            <w:shd w:val="clear" w:color="auto" w:fill="auto"/>
            <w:vAlign w:val="bottom"/>
          </w:tcPr>
          <w:p>
            <w:pPr>
              <w:rPr>
                <w:rFonts w:hint="default" w:ascii="Arial" w:hAnsi="Arial" w:cs="Arial"/>
                <w:i w:val="0"/>
                <w:color w:val="000000"/>
                <w:sz w:val="20"/>
                <w:szCs w:val="20"/>
                <w:u w:val="none"/>
              </w:rPr>
            </w:pPr>
          </w:p>
        </w:tc>
        <w:tc>
          <w:tcPr>
            <w:tcW w:w="922" w:type="dxa"/>
            <w:shd w:val="clear" w:color="auto" w:fill="auto"/>
            <w:vAlign w:val="bottom"/>
          </w:tcPr>
          <w:p>
            <w:pPr>
              <w:rPr>
                <w:rFonts w:hint="default" w:ascii="Arial" w:hAnsi="Arial" w:cs="Arial"/>
                <w:i w:val="0"/>
                <w:color w:val="000000"/>
                <w:sz w:val="20"/>
                <w:szCs w:val="20"/>
                <w:u w:val="none"/>
              </w:rPr>
            </w:pPr>
          </w:p>
        </w:tc>
        <w:tc>
          <w:tcPr>
            <w:tcW w:w="890" w:type="dxa"/>
            <w:shd w:val="clear" w:color="auto" w:fill="auto"/>
            <w:vAlign w:val="bottom"/>
          </w:tcPr>
          <w:p>
            <w:pPr>
              <w:rPr>
                <w:rFonts w:hint="default" w:ascii="Arial" w:hAnsi="Arial" w:cs="Arial"/>
                <w:i w:val="0"/>
                <w:color w:val="000000"/>
                <w:sz w:val="20"/>
                <w:szCs w:val="20"/>
                <w:u w:val="none"/>
              </w:rPr>
            </w:pPr>
          </w:p>
        </w:tc>
        <w:tc>
          <w:tcPr>
            <w:tcW w:w="1235" w:type="dxa"/>
            <w:shd w:val="clear" w:color="auto" w:fill="auto"/>
            <w:vAlign w:val="bottom"/>
          </w:tcPr>
          <w:p>
            <w:pPr>
              <w:rPr>
                <w:rFonts w:hint="default" w:ascii="Arial" w:hAnsi="Arial" w:cs="Arial"/>
                <w:i w:val="0"/>
                <w:color w:val="000000"/>
                <w:sz w:val="20"/>
                <w:szCs w:val="20"/>
                <w:u w:val="none"/>
              </w:rPr>
            </w:pPr>
          </w:p>
        </w:tc>
        <w:tc>
          <w:tcPr>
            <w:tcW w:w="840"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551" w:type="dxa"/>
            <w:shd w:val="clear" w:color="auto" w:fill="auto"/>
            <w:vAlign w:val="bottom"/>
          </w:tcPr>
          <w:p>
            <w:pPr>
              <w:rPr>
                <w:rFonts w:hint="default" w:ascii="Arial" w:hAnsi="Arial" w:cs="Arial"/>
                <w:i w:val="0"/>
                <w:color w:val="000000"/>
                <w:sz w:val="20"/>
                <w:szCs w:val="20"/>
                <w:u w:val="none"/>
              </w:rPr>
            </w:pPr>
          </w:p>
        </w:tc>
        <w:tc>
          <w:tcPr>
            <w:tcW w:w="1365" w:type="dxa"/>
            <w:shd w:val="clear" w:color="auto" w:fill="auto"/>
            <w:vAlign w:val="bottom"/>
          </w:tcPr>
          <w:p>
            <w:pPr>
              <w:rPr>
                <w:rFonts w:hint="default" w:ascii="Arial" w:hAnsi="Arial" w:cs="Arial"/>
                <w:i w:val="0"/>
                <w:color w:val="000000"/>
                <w:sz w:val="20"/>
                <w:szCs w:val="20"/>
                <w:u w:val="none"/>
              </w:rPr>
            </w:pPr>
          </w:p>
        </w:tc>
        <w:tc>
          <w:tcPr>
            <w:tcW w:w="1215" w:type="dxa"/>
            <w:shd w:val="clear" w:color="auto" w:fill="auto"/>
            <w:vAlign w:val="bottom"/>
          </w:tcPr>
          <w:p>
            <w:pPr>
              <w:rPr>
                <w:rFonts w:hint="default" w:ascii="Arial" w:hAnsi="Arial" w:cs="Arial"/>
                <w:i w:val="0"/>
                <w:color w:val="000000"/>
                <w:sz w:val="20"/>
                <w:szCs w:val="20"/>
                <w:u w:val="none"/>
              </w:rPr>
            </w:pPr>
          </w:p>
        </w:tc>
        <w:tc>
          <w:tcPr>
            <w:tcW w:w="1185" w:type="dxa"/>
            <w:shd w:val="clear" w:color="auto" w:fill="auto"/>
            <w:vAlign w:val="bottom"/>
          </w:tcPr>
          <w:p>
            <w:pPr>
              <w:rPr>
                <w:rFonts w:hint="default" w:ascii="Arial" w:hAnsi="Arial" w:cs="Arial"/>
                <w:i w:val="0"/>
                <w:color w:val="000000"/>
                <w:sz w:val="20"/>
                <w:szCs w:val="20"/>
                <w:u w:val="none"/>
              </w:rPr>
            </w:pPr>
          </w:p>
        </w:tc>
        <w:tc>
          <w:tcPr>
            <w:tcW w:w="1410" w:type="dxa"/>
            <w:shd w:val="clear" w:color="auto" w:fill="auto"/>
            <w:vAlign w:val="bottom"/>
          </w:tcPr>
          <w:p>
            <w:pPr>
              <w:rPr>
                <w:rFonts w:hint="default" w:ascii="Arial" w:hAnsi="Arial" w:cs="Arial"/>
                <w:i w:val="0"/>
                <w:color w:val="000000"/>
                <w:sz w:val="20"/>
                <w:szCs w:val="20"/>
                <w:u w:val="none"/>
              </w:rPr>
            </w:pPr>
          </w:p>
        </w:tc>
        <w:tc>
          <w:tcPr>
            <w:tcW w:w="213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4324"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部门：濮阳县文化广电旅游局</w:t>
            </w:r>
          </w:p>
        </w:tc>
        <w:tc>
          <w:tcPr>
            <w:tcW w:w="840" w:type="dxa"/>
            <w:shd w:val="clear" w:color="auto" w:fill="auto"/>
            <w:vAlign w:val="bottom"/>
          </w:tcPr>
          <w:p>
            <w:pPr>
              <w:rPr>
                <w:rFonts w:hint="default" w:ascii="Arial" w:hAnsi="Arial" w:cs="Arial"/>
                <w:i w:val="0"/>
                <w:color w:val="000000"/>
                <w:sz w:val="20"/>
                <w:szCs w:val="20"/>
                <w:u w:val="none"/>
              </w:rPr>
            </w:pPr>
          </w:p>
        </w:tc>
        <w:tc>
          <w:tcPr>
            <w:tcW w:w="1044" w:type="dxa"/>
            <w:shd w:val="clear" w:color="auto" w:fill="auto"/>
            <w:vAlign w:val="bottom"/>
          </w:tcPr>
          <w:p>
            <w:pPr>
              <w:rPr>
                <w:rFonts w:hint="default" w:ascii="Arial" w:hAnsi="Arial" w:cs="Arial"/>
                <w:i w:val="0"/>
                <w:color w:val="000000"/>
                <w:sz w:val="20"/>
                <w:szCs w:val="20"/>
                <w:u w:val="none"/>
              </w:rPr>
            </w:pPr>
          </w:p>
        </w:tc>
        <w:tc>
          <w:tcPr>
            <w:tcW w:w="1551" w:type="dxa"/>
            <w:shd w:val="clear" w:color="auto" w:fill="auto"/>
            <w:vAlign w:val="bottom"/>
          </w:tcPr>
          <w:p>
            <w:pPr>
              <w:rPr>
                <w:rFonts w:hint="default" w:ascii="Arial" w:hAnsi="Arial" w:cs="Arial"/>
                <w:i w:val="0"/>
                <w:color w:val="000000"/>
                <w:sz w:val="20"/>
                <w:szCs w:val="20"/>
                <w:u w:val="none"/>
              </w:rPr>
            </w:pPr>
          </w:p>
        </w:tc>
        <w:tc>
          <w:tcPr>
            <w:tcW w:w="1365" w:type="dxa"/>
            <w:shd w:val="clear" w:color="auto" w:fill="auto"/>
            <w:vAlign w:val="bottom"/>
          </w:tcPr>
          <w:p>
            <w:pPr>
              <w:rPr>
                <w:rFonts w:hint="default" w:ascii="Arial" w:hAnsi="Arial" w:cs="Arial"/>
                <w:i w:val="0"/>
                <w:color w:val="000000"/>
                <w:sz w:val="20"/>
                <w:szCs w:val="20"/>
                <w:u w:val="none"/>
              </w:rPr>
            </w:pPr>
          </w:p>
        </w:tc>
        <w:tc>
          <w:tcPr>
            <w:tcW w:w="1215" w:type="dxa"/>
            <w:shd w:val="clear" w:color="auto" w:fill="auto"/>
            <w:vAlign w:val="bottom"/>
          </w:tcPr>
          <w:p>
            <w:pPr>
              <w:rPr>
                <w:rFonts w:hint="default" w:ascii="Arial" w:hAnsi="Arial" w:cs="Arial"/>
                <w:i w:val="0"/>
                <w:color w:val="000000"/>
                <w:sz w:val="20"/>
                <w:szCs w:val="20"/>
                <w:u w:val="none"/>
              </w:rPr>
            </w:pPr>
          </w:p>
        </w:tc>
        <w:tc>
          <w:tcPr>
            <w:tcW w:w="1185" w:type="dxa"/>
            <w:shd w:val="clear" w:color="auto" w:fill="auto"/>
            <w:vAlign w:val="bottom"/>
          </w:tcPr>
          <w:p>
            <w:pPr>
              <w:rPr>
                <w:rFonts w:hint="default" w:ascii="Arial" w:hAnsi="Arial" w:cs="Arial"/>
                <w:i w:val="0"/>
                <w:color w:val="000000"/>
                <w:sz w:val="20"/>
                <w:szCs w:val="20"/>
                <w:u w:val="none"/>
              </w:rPr>
            </w:pPr>
          </w:p>
        </w:tc>
        <w:tc>
          <w:tcPr>
            <w:tcW w:w="1410" w:type="dxa"/>
            <w:shd w:val="clear" w:color="auto" w:fill="auto"/>
            <w:vAlign w:val="bottom"/>
          </w:tcPr>
          <w:p>
            <w:pPr>
              <w:rPr>
                <w:rFonts w:hint="default" w:ascii="Arial" w:hAnsi="Arial" w:cs="Arial"/>
                <w:i w:val="0"/>
                <w:color w:val="000000"/>
                <w:sz w:val="20"/>
                <w:szCs w:val="20"/>
                <w:u w:val="none"/>
              </w:rPr>
            </w:pPr>
          </w:p>
        </w:tc>
        <w:tc>
          <w:tcPr>
            <w:tcW w:w="213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6208" w:type="dxa"/>
            <w:gridSpan w:val="6"/>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8856" w:type="dxa"/>
            <w:gridSpan w:val="6"/>
            <w:tcBorders>
              <w:top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277" w:type="dxa"/>
            <w:vMerge w:val="restart"/>
            <w:tcBorders>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2" w:type="dxa"/>
            <w:vMerge w:val="restart"/>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965" w:type="dxa"/>
            <w:gridSpan w:val="3"/>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044" w:type="dxa"/>
            <w:vMerge w:val="restart"/>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551" w:type="dxa"/>
            <w:vMerge w:val="restart"/>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65" w:type="dxa"/>
            <w:vMerge w:val="restart"/>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10" w:type="dxa"/>
            <w:gridSpan w:val="3"/>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2130" w:type="dxa"/>
            <w:vMerge w:val="restart"/>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277" w:type="dxa"/>
            <w:vMerge w:val="continue"/>
            <w:tcBorders>
              <w:left w:val="single" w:color="000000" w:sz="4" w:space="0"/>
              <w:bottom w:val="single" w:color="000000" w:sz="4" w:space="0"/>
              <w:right w:val="single" w:color="000000" w:sz="4" w:space="0"/>
            </w:tcBorders>
            <w:shd w:val="clear" w:color="FFFFFF" w:fill="FFFFFF" w:themeFill="background1"/>
            <w:vAlign w:val="center"/>
          </w:tcPr>
          <w:p>
            <w:pPr>
              <w:jc w:val="center"/>
              <w:rPr>
                <w:rFonts w:hint="eastAsia" w:ascii="宋体" w:hAnsi="宋体" w:eastAsia="宋体" w:cs="宋体"/>
                <w:i w:val="0"/>
                <w:color w:val="000000"/>
                <w:sz w:val="22"/>
                <w:szCs w:val="22"/>
                <w:u w:val="none"/>
              </w:rPr>
            </w:pPr>
          </w:p>
        </w:tc>
        <w:tc>
          <w:tcPr>
            <w:tcW w:w="922" w:type="dxa"/>
            <w:vMerge w:val="continue"/>
            <w:tcBorders>
              <w:bottom w:val="single" w:color="000000" w:sz="4" w:space="0"/>
              <w:right w:val="single" w:color="000000" w:sz="4" w:space="0"/>
            </w:tcBorders>
            <w:shd w:val="clear" w:color="FFFFFF" w:fill="FFFFFF" w:themeFill="background1"/>
            <w:vAlign w:val="center"/>
          </w:tcPr>
          <w:p>
            <w:pPr>
              <w:jc w:val="center"/>
              <w:rPr>
                <w:rFonts w:hint="eastAsia" w:ascii="宋体" w:hAnsi="宋体" w:eastAsia="宋体" w:cs="宋体"/>
                <w:i w:val="0"/>
                <w:color w:val="000000"/>
                <w:sz w:val="22"/>
                <w:szCs w:val="22"/>
                <w:u w:val="none"/>
              </w:rPr>
            </w:pPr>
          </w:p>
        </w:tc>
        <w:tc>
          <w:tcPr>
            <w:tcW w:w="890"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35"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40"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044" w:type="dxa"/>
            <w:tcBorders>
              <w:bottom w:val="single" w:color="000000" w:sz="4" w:space="0"/>
              <w:right w:val="single" w:color="000000" w:sz="4" w:space="0"/>
            </w:tcBorders>
            <w:shd w:val="clear" w:color="FFFFFF" w:fill="FFFFFF" w:themeFill="background1"/>
            <w:vAlign w:val="center"/>
          </w:tcPr>
          <w:p>
            <w:pPr>
              <w:jc w:val="center"/>
              <w:rPr>
                <w:rFonts w:hint="eastAsia" w:ascii="宋体" w:hAnsi="宋体" w:eastAsia="宋体" w:cs="宋体"/>
                <w:i w:val="0"/>
                <w:color w:val="000000"/>
                <w:sz w:val="22"/>
                <w:szCs w:val="22"/>
                <w:u w:val="none"/>
              </w:rPr>
            </w:pPr>
          </w:p>
        </w:tc>
        <w:tc>
          <w:tcPr>
            <w:tcW w:w="1551" w:type="dxa"/>
            <w:tcBorders>
              <w:bottom w:val="single" w:color="000000" w:sz="4" w:space="0"/>
              <w:right w:val="single" w:color="000000" w:sz="4" w:space="0"/>
            </w:tcBorders>
            <w:shd w:val="clear" w:color="FFFFFF" w:fill="FFFFFF" w:themeFill="background1"/>
            <w:vAlign w:val="center"/>
          </w:tcPr>
          <w:p>
            <w:pPr>
              <w:jc w:val="center"/>
              <w:rPr>
                <w:rFonts w:hint="eastAsia" w:ascii="宋体" w:hAnsi="宋体" w:eastAsia="宋体" w:cs="宋体"/>
                <w:i w:val="0"/>
                <w:color w:val="000000"/>
                <w:sz w:val="22"/>
                <w:szCs w:val="22"/>
                <w:u w:val="none"/>
              </w:rPr>
            </w:pPr>
          </w:p>
        </w:tc>
        <w:tc>
          <w:tcPr>
            <w:tcW w:w="1365" w:type="dxa"/>
            <w:tcBorders>
              <w:bottom w:val="single" w:color="000000" w:sz="4" w:space="0"/>
              <w:right w:val="single" w:color="000000" w:sz="4" w:space="0"/>
            </w:tcBorders>
            <w:shd w:val="clear" w:color="FFFFFF" w:fill="FFFFFF" w:themeFill="background1"/>
            <w:vAlign w:val="center"/>
          </w:tcPr>
          <w:p>
            <w:pPr>
              <w:jc w:val="center"/>
              <w:rPr>
                <w:rFonts w:hint="eastAsia" w:ascii="宋体" w:hAnsi="宋体" w:eastAsia="宋体" w:cs="宋体"/>
                <w:i w:val="0"/>
                <w:color w:val="000000"/>
                <w:sz w:val="22"/>
                <w:szCs w:val="22"/>
                <w:u w:val="none"/>
              </w:rPr>
            </w:pPr>
          </w:p>
        </w:tc>
        <w:tc>
          <w:tcPr>
            <w:tcW w:w="1215"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85"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10"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2130" w:type="dxa"/>
            <w:tcBorders>
              <w:bottom w:val="single" w:color="000000" w:sz="4" w:space="0"/>
              <w:right w:val="single" w:color="000000" w:sz="4" w:space="0"/>
            </w:tcBorders>
            <w:shd w:val="clear" w:color="FFFFFF"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277" w:type="dxa"/>
            <w:tcBorders>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22"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90"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5"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0"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44"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51"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65"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15"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85"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10"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130" w:type="dxa"/>
            <w:tcBorders>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27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2.89</w:t>
            </w:r>
          </w:p>
        </w:tc>
        <w:tc>
          <w:tcPr>
            <w:tcW w:w="9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89</w:t>
            </w:r>
          </w:p>
        </w:tc>
        <w:tc>
          <w:tcPr>
            <w:tcW w:w="12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84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2.89</w:t>
            </w:r>
          </w:p>
        </w:tc>
        <w:tc>
          <w:tcPr>
            <w:tcW w:w="10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155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2.89</w:t>
            </w:r>
          </w:p>
        </w:tc>
        <w:tc>
          <w:tcPr>
            <w:tcW w:w="13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89</w:t>
            </w:r>
          </w:p>
        </w:tc>
        <w:tc>
          <w:tcPr>
            <w:tcW w:w="11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2.89</w:t>
            </w:r>
          </w:p>
        </w:tc>
        <w:tc>
          <w:tcPr>
            <w:tcW w:w="21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5064" w:type="dxa"/>
            <w:gridSpan w:val="1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tbl>
      <w:tblPr>
        <w:tblStyle w:val="7"/>
        <w:tblW w:w="14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
      <w:tblGrid>
        <w:gridCol w:w="1289"/>
        <w:gridCol w:w="58"/>
        <w:gridCol w:w="58"/>
        <w:gridCol w:w="3410"/>
        <w:gridCol w:w="1510"/>
        <w:gridCol w:w="2184"/>
        <w:gridCol w:w="1980"/>
        <w:gridCol w:w="1485"/>
        <w:gridCol w:w="174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15" w:type="dxa"/>
            <w:left w:w="15" w:type="dxa"/>
            <w:bottom w:w="15" w:type="dxa"/>
            <w:right w:w="15" w:type="dxa"/>
          </w:tblCellMar>
        </w:tblPrEx>
        <w:trPr>
          <w:trHeight w:val="390" w:hRule="atLeast"/>
        </w:trPr>
        <w:tc>
          <w:tcPr>
            <w:tcW w:w="1289" w:type="dxa"/>
            <w:shd w:val="clear" w:color="auto" w:fill="FFFFFF" w:themeFill="background1"/>
            <w:vAlign w:val="bottom"/>
          </w:tcPr>
          <w:p>
            <w:pPr>
              <w:rPr>
                <w:rFonts w:hint="eastAsia" w:ascii="Arial" w:hAnsi="Arial" w:cs="Arial"/>
                <w:i w:val="0"/>
                <w:color w:val="000000"/>
                <w:sz w:val="20"/>
                <w:szCs w:val="20"/>
                <w:u w:val="none"/>
              </w:rPr>
            </w:pPr>
          </w:p>
        </w:tc>
        <w:tc>
          <w:tcPr>
            <w:tcW w:w="58" w:type="dxa"/>
            <w:shd w:val="clear" w:color="auto" w:fill="FFFFFF" w:themeFill="background1"/>
            <w:vAlign w:val="bottom"/>
          </w:tcPr>
          <w:p>
            <w:pPr>
              <w:rPr>
                <w:rFonts w:hint="default" w:ascii="Arial" w:hAnsi="Arial" w:cs="Arial"/>
                <w:i w:val="0"/>
                <w:color w:val="000000"/>
                <w:sz w:val="20"/>
                <w:szCs w:val="20"/>
                <w:u w:val="none"/>
              </w:rPr>
            </w:pPr>
          </w:p>
        </w:tc>
        <w:tc>
          <w:tcPr>
            <w:tcW w:w="58" w:type="dxa"/>
            <w:shd w:val="clear" w:color="auto" w:fill="FFFFFF" w:themeFill="background1"/>
            <w:vAlign w:val="bottom"/>
          </w:tcPr>
          <w:p>
            <w:pPr>
              <w:rPr>
                <w:rFonts w:hint="default" w:ascii="Arial" w:hAnsi="Arial" w:cs="Arial"/>
                <w:i w:val="0"/>
                <w:color w:val="000000"/>
                <w:sz w:val="20"/>
                <w:szCs w:val="20"/>
                <w:u w:val="none"/>
              </w:rPr>
            </w:pPr>
          </w:p>
        </w:tc>
        <w:tc>
          <w:tcPr>
            <w:tcW w:w="13434" w:type="dxa"/>
            <w:gridSpan w:val="7"/>
            <w:shd w:val="clear" w:color="auto" w:fill="FFFFFF" w:themeFill="background1"/>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289" w:type="dxa"/>
            <w:shd w:val="clear" w:color="auto" w:fill="FFFFFF" w:themeFill="background1"/>
            <w:vAlign w:val="bottom"/>
          </w:tcPr>
          <w:p>
            <w:pPr>
              <w:rPr>
                <w:rFonts w:hint="default" w:ascii="Arial" w:hAnsi="Arial" w:cs="Arial"/>
                <w:i w:val="0"/>
                <w:color w:val="000000"/>
                <w:sz w:val="20"/>
                <w:szCs w:val="20"/>
                <w:u w:val="none"/>
              </w:rPr>
            </w:pPr>
          </w:p>
        </w:tc>
        <w:tc>
          <w:tcPr>
            <w:tcW w:w="58" w:type="dxa"/>
            <w:shd w:val="clear" w:color="auto" w:fill="FFFFFF" w:themeFill="background1"/>
            <w:vAlign w:val="bottom"/>
          </w:tcPr>
          <w:p>
            <w:pPr>
              <w:rPr>
                <w:rFonts w:hint="default" w:ascii="Arial" w:hAnsi="Arial" w:cs="Arial"/>
                <w:i w:val="0"/>
                <w:color w:val="000000"/>
                <w:sz w:val="20"/>
                <w:szCs w:val="20"/>
                <w:u w:val="none"/>
              </w:rPr>
            </w:pPr>
          </w:p>
        </w:tc>
        <w:tc>
          <w:tcPr>
            <w:tcW w:w="58" w:type="dxa"/>
            <w:shd w:val="clear" w:color="auto" w:fill="FFFFFF" w:themeFill="background1"/>
            <w:vAlign w:val="bottom"/>
          </w:tcPr>
          <w:p>
            <w:pPr>
              <w:rPr>
                <w:rFonts w:hint="default" w:ascii="Arial" w:hAnsi="Arial" w:cs="Arial"/>
                <w:i w:val="0"/>
                <w:color w:val="000000"/>
                <w:sz w:val="20"/>
                <w:szCs w:val="20"/>
                <w:u w:val="none"/>
              </w:rPr>
            </w:pPr>
          </w:p>
        </w:tc>
        <w:tc>
          <w:tcPr>
            <w:tcW w:w="13434" w:type="dxa"/>
            <w:gridSpan w:val="7"/>
            <w:shd w:val="clear" w:color="auto" w:fill="FFFFFF" w:themeFill="background1"/>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4839" w:type="dxa"/>
            <w:gridSpan w:val="10"/>
            <w:shd w:val="clear" w:color="auto" w:fill="FFFFFF" w:themeFill="background1"/>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部门：濮阳县文化广电旅游局</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815"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10"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184"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205" w:type="dxa"/>
            <w:gridSpan w:val="3"/>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25"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05" w:type="dxa"/>
            <w:gridSpan w:val="3"/>
            <w:vMerge w:val="restart"/>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10"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1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84"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980"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85"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40"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25"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05" w:type="dxa"/>
            <w:gridSpan w:val="3"/>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341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1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84"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98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485"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74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25"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05" w:type="dxa"/>
            <w:gridSpan w:val="3"/>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341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10"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84"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98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485"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74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25"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815" w:type="dxa"/>
            <w:gridSpan w:val="4"/>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4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815" w:type="dxa"/>
            <w:gridSpan w:val="4"/>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lang w:val="en-US"/>
              </w:rPr>
            </w:pPr>
            <w:r>
              <w:rPr>
                <w:rFonts w:hint="eastAsia" w:ascii="宋体" w:hAnsi="宋体" w:cs="宋体"/>
                <w:b w:val="0"/>
                <w:bCs/>
                <w:i w:val="0"/>
                <w:color w:val="000000"/>
                <w:kern w:val="0"/>
                <w:sz w:val="22"/>
                <w:szCs w:val="22"/>
                <w:u w:val="none"/>
                <w:lang w:val="en-US" w:eastAsia="zh-CN" w:bidi="ar"/>
              </w:rPr>
              <w:t>1123.00</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cs="宋体"/>
                <w:b w:val="0"/>
                <w:bCs/>
                <w:i w:val="0"/>
                <w:color w:val="000000"/>
                <w:kern w:val="0"/>
                <w:sz w:val="22"/>
                <w:szCs w:val="22"/>
                <w:u w:val="none"/>
                <w:lang w:val="en-US" w:eastAsia="zh-CN" w:bidi="ar"/>
              </w:rPr>
              <w:t>1123.00</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cs="宋体"/>
                <w:i w:val="0"/>
                <w:color w:val="000000"/>
                <w:kern w:val="0"/>
                <w:sz w:val="22"/>
                <w:szCs w:val="22"/>
                <w:u w:val="none"/>
                <w:lang w:val="en-US" w:eastAsia="zh-CN" w:bidi="ar"/>
              </w:rPr>
              <w:t>6.00</w:t>
            </w:r>
          </w:p>
        </w:tc>
        <w:tc>
          <w:tcPr>
            <w:tcW w:w="174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1117.00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4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23.00</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23.00</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6.00</w:t>
            </w:r>
          </w:p>
        </w:tc>
        <w:tc>
          <w:tcPr>
            <w:tcW w:w="174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20707</w:t>
            </w:r>
          </w:p>
        </w:tc>
        <w:tc>
          <w:tcPr>
            <w:tcW w:w="34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国家电影事业发展专项资金安排的支出</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6.00</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6.00</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6.00</w:t>
            </w:r>
          </w:p>
        </w:tc>
        <w:tc>
          <w:tcPr>
            <w:tcW w:w="174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2070701</w:t>
            </w:r>
          </w:p>
        </w:tc>
        <w:tc>
          <w:tcPr>
            <w:tcW w:w="34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资助国产影片放映</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6.00</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6.00</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6.00</w:t>
            </w:r>
          </w:p>
        </w:tc>
        <w:tc>
          <w:tcPr>
            <w:tcW w:w="174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20709</w:t>
            </w:r>
          </w:p>
        </w:tc>
        <w:tc>
          <w:tcPr>
            <w:tcW w:w="34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旅游发展基金支出</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17.00</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17.00</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17.00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2070904</w:t>
            </w:r>
          </w:p>
        </w:tc>
        <w:tc>
          <w:tcPr>
            <w:tcW w:w="34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地方旅游开发项目补助</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17.00</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17.00</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17.00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4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1100</w:t>
            </w:r>
            <w:r>
              <w:rPr>
                <w:rFonts w:hint="eastAsia" w:ascii="宋体" w:hAnsi="宋体" w:eastAsia="宋体" w:cs="宋体"/>
                <w:i w:val="0"/>
                <w:color w:val="000000"/>
                <w:kern w:val="0"/>
                <w:sz w:val="22"/>
                <w:szCs w:val="22"/>
                <w:u w:val="none"/>
                <w:lang w:val="en-US" w:eastAsia="zh-CN" w:bidi="ar"/>
              </w:rPr>
              <w:t>.00</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1100</w:t>
            </w:r>
            <w:r>
              <w:rPr>
                <w:rFonts w:hint="eastAsia" w:ascii="宋体" w:hAnsi="宋体" w:eastAsia="宋体" w:cs="宋体"/>
                <w:i w:val="0"/>
                <w:color w:val="000000"/>
                <w:kern w:val="0"/>
                <w:sz w:val="22"/>
                <w:szCs w:val="22"/>
                <w:u w:val="none"/>
                <w:lang w:val="en-US" w:eastAsia="zh-CN" w:bidi="ar"/>
              </w:rPr>
              <w:t>.00</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1100 .00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4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1100 .00</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1100 .00</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110</w:t>
            </w: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.00</w:t>
            </w: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34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51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110</w:t>
            </w: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.00</w:t>
            </w:r>
          </w:p>
        </w:tc>
        <w:tc>
          <w:tcPr>
            <w:tcW w:w="198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110</w:t>
            </w: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.00</w:t>
            </w:r>
          </w:p>
        </w:tc>
        <w:tc>
          <w:tcPr>
            <w:tcW w:w="148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4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2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3410" w:type="dxa"/>
            <w:tcBorders>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84"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98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48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74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2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3410" w:type="dxa"/>
            <w:tcBorders>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84"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98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48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74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12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5" w:type="dxa"/>
            <w:gridSpan w:val="3"/>
            <w:tcBorders>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3410" w:type="dxa"/>
            <w:tcBorders>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color w:val="000000"/>
                <w:sz w:val="22"/>
                <w:szCs w:val="22"/>
                <w:u w:val="none"/>
              </w:rPr>
            </w:pPr>
          </w:p>
        </w:tc>
        <w:tc>
          <w:tcPr>
            <w:tcW w:w="151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184"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1980"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148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1740"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c>
          <w:tcPr>
            <w:tcW w:w="1125" w:type="dxa"/>
            <w:tcBorders>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839" w:type="dxa"/>
            <w:gridSpan w:val="10"/>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2019年度收、支总计均为4413.92万元。与上年度相比，收、支总计各增加1136.08万元，增长</w:t>
      </w:r>
      <w:r>
        <w:rPr>
          <w:rFonts w:hint="eastAsia" w:ascii="仿宋_GB2312" w:hAnsi="仿宋_GB2312" w:eastAsia="仿宋_GB2312" w:cs="仿宋_GB2312"/>
          <w:strike w:val="0"/>
          <w:dstrike w:val="0"/>
          <w:color w:val="auto"/>
          <w:sz w:val="32"/>
          <w:szCs w:val="32"/>
          <w:highlight w:val="none"/>
          <w:lang w:val="en-US" w:eastAsia="zh-CN"/>
        </w:rPr>
        <w:t>34.66</w:t>
      </w:r>
      <w:r>
        <w:rPr>
          <w:rFonts w:hint="eastAsia" w:ascii="仿宋_GB2312" w:hAnsi="仿宋_GB2312" w:eastAsia="仿宋_GB2312" w:cs="仿宋_GB2312"/>
          <w:color w:val="auto"/>
          <w:sz w:val="32"/>
          <w:szCs w:val="32"/>
          <w:highlight w:val="none"/>
          <w:lang w:val="en-US" w:eastAsia="zh-CN"/>
        </w:rPr>
        <w:t>%。主要原因是文化广场建设、人员增资，社保缴费基数增加。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2019年度收入合计4413.92万元，其中：财政拨款收入3290.92万元，占74.55%；政府性基金预算财政拨款收入：1123.00万元，占25.45%。</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2019年度支出合计4413.92万元，其中：基本支出3144.</w:t>
      </w:r>
      <w:r>
        <w:rPr>
          <w:rFonts w:hint="eastAsia" w:ascii="仿宋_GB2312" w:hAnsi="仿宋_GB2312" w:eastAsia="仿宋_GB2312" w:cs="仿宋_GB2312"/>
          <w:b w:val="0"/>
          <w:bCs/>
          <w:i w:val="0"/>
          <w:color w:val="000000"/>
          <w:kern w:val="0"/>
          <w:sz w:val="32"/>
          <w:szCs w:val="32"/>
          <w:u w:val="none"/>
          <w:lang w:val="en-US" w:eastAsia="zh-CN" w:bidi="ar"/>
        </w:rPr>
        <w:t>92</w:t>
      </w:r>
      <w:r>
        <w:rPr>
          <w:rFonts w:hint="eastAsia" w:ascii="仿宋_GB2312" w:hAnsi="仿宋_GB2312" w:eastAsia="仿宋_GB2312" w:cs="仿宋_GB2312"/>
          <w:color w:val="auto"/>
          <w:sz w:val="32"/>
          <w:szCs w:val="32"/>
          <w:highlight w:val="none"/>
          <w:lang w:val="en-US" w:eastAsia="zh-CN"/>
        </w:rPr>
        <w:t>万元，占71.25%；项目支出1269万元，占28.75%。</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2019年度财政拨款收、支总计均为4413.92万元。与上年度相比，财政拨款收、支总计各增加1136.08万元，增长34.66%。主要原因是文化广场建设、人员增资，社保缴费基数增加。</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2019年度一般公共预算财政拨款支出3290.92万元，占本年支出合计的74.55%。与上年度相比，一般公共预算财政拨款支出增加26.08万元，增长0.8%。主要原因是人员增资，社保缴费基数增加、专项活动经费增加。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2019年度一般公共预算财政拨款支出3290.92万元，主要用于以下方面：文化体育与传媒支出3043.99万元，占92.50%；社会保障和就业支出215.33万元，占6.54%；医疗卫生与计划生育支出31.60万元，占0.96%，</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2019年度一般公共预算财政拨款支出年初预算为3290.92万元，支出决算为3290.92万元，完成年初预算的100%。其中：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1．文化体育与传媒支出（类）文化（款）行政运行（项）。</w:t>
      </w:r>
      <w:r>
        <w:rPr>
          <w:rFonts w:hint="eastAsia" w:ascii="仿宋_GB2312" w:hAnsi="仿宋_GB2312" w:eastAsia="仿宋_GB2312" w:cs="仿宋_GB2312"/>
          <w:color w:val="auto"/>
          <w:sz w:val="32"/>
          <w:szCs w:val="32"/>
          <w:highlight w:val="none"/>
          <w:lang w:val="en-US" w:eastAsia="zh-CN"/>
        </w:rPr>
        <w:t>年初预算为1217万元，支出决算为1217万元，完成年初预算的100%。决算数与年初预算数持平。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2．文化体育与传媒支出（类）文化（款）一般行政管理事务（项）。</w:t>
      </w:r>
      <w:r>
        <w:rPr>
          <w:rFonts w:hint="eastAsia" w:ascii="仿宋_GB2312" w:hAnsi="仿宋_GB2312" w:eastAsia="仿宋_GB2312" w:cs="仿宋_GB2312"/>
          <w:color w:val="auto"/>
          <w:sz w:val="32"/>
          <w:szCs w:val="32"/>
          <w:highlight w:val="none"/>
          <w:lang w:val="en-US" w:eastAsia="zh-CN"/>
        </w:rPr>
        <w:t>年初预算为132万元，支出决算为132万元，完成年初预算的100%。决算数与年初预算数持平。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3.文化体育与传媒支出（类）文化（款）图书馆（项）。</w:t>
      </w:r>
      <w:r>
        <w:rPr>
          <w:rFonts w:hint="eastAsia" w:ascii="仿宋_GB2312" w:hAnsi="仿宋_GB2312" w:eastAsia="仿宋_GB2312" w:cs="仿宋_GB2312"/>
          <w:color w:val="auto"/>
          <w:sz w:val="32"/>
          <w:szCs w:val="32"/>
          <w:highlight w:val="none"/>
          <w:lang w:val="en-US" w:eastAsia="zh-CN"/>
        </w:rPr>
        <w:t>年初预算为185万元，支出决算为185万元，完成年初预算的100%。决算数与年初预算数持平。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4.文化体育与传媒支出（类）文化（款）艺术表演场所（项）。</w:t>
      </w:r>
      <w:r>
        <w:rPr>
          <w:rFonts w:hint="eastAsia" w:ascii="仿宋_GB2312" w:hAnsi="仿宋_GB2312" w:eastAsia="仿宋_GB2312" w:cs="仿宋_GB2312"/>
          <w:color w:val="auto"/>
          <w:sz w:val="32"/>
          <w:szCs w:val="32"/>
          <w:highlight w:val="none"/>
          <w:lang w:val="en-US" w:eastAsia="zh-CN"/>
        </w:rPr>
        <w:t>年初预算为7万元，支出决算为7万元，完成年初预算的100%。决算数与年初预算数持平。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5.文化体育与传媒支出（类）文化（款）文化活动（项）。</w:t>
      </w:r>
      <w:r>
        <w:rPr>
          <w:rFonts w:hint="eastAsia" w:ascii="仿宋_GB2312" w:hAnsi="仿宋_GB2312" w:eastAsia="仿宋_GB2312" w:cs="仿宋_GB2312"/>
          <w:color w:val="auto"/>
          <w:sz w:val="32"/>
          <w:szCs w:val="32"/>
          <w:highlight w:val="none"/>
          <w:lang w:val="en-US" w:eastAsia="zh-CN"/>
        </w:rPr>
        <w:t>年初预算为112万元，支出决算为112万元，完成年初预算的100%。决算数与年初预算数持平。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6.文化体育与传媒支出（类）文化（款）群众文化（项）。</w:t>
      </w:r>
      <w:r>
        <w:rPr>
          <w:rFonts w:hint="eastAsia" w:ascii="仿宋_GB2312" w:hAnsi="仿宋_GB2312" w:eastAsia="仿宋_GB2312" w:cs="仿宋_GB2312"/>
          <w:color w:val="auto"/>
          <w:sz w:val="32"/>
          <w:szCs w:val="32"/>
          <w:highlight w:val="none"/>
          <w:lang w:val="en-US" w:eastAsia="zh-CN"/>
        </w:rPr>
        <w:t>年初预算为429万元，支出决算为429万元，完成年初预算的100%。决算数与年初预算数持平。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7.文化体育与传媒支出（类）文化（款）文化和旅游市场管理（项）。</w:t>
      </w:r>
      <w:r>
        <w:rPr>
          <w:rFonts w:hint="eastAsia" w:ascii="仿宋_GB2312" w:hAnsi="仿宋_GB2312" w:eastAsia="仿宋_GB2312" w:cs="仿宋_GB2312"/>
          <w:color w:val="auto"/>
          <w:sz w:val="32"/>
          <w:szCs w:val="32"/>
          <w:highlight w:val="none"/>
          <w:lang w:val="en-US" w:eastAsia="zh-CN"/>
        </w:rPr>
        <w:t>年初预算为66万元，支出决算为66万元，完成年初预算的100%。决算数与年初预算数持平。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8.文化体育与传媒支出（类）文化（款）旅游宣传（项）。</w:t>
      </w:r>
      <w:r>
        <w:rPr>
          <w:rFonts w:hint="eastAsia" w:ascii="仿宋_GB2312" w:hAnsi="仿宋_GB2312" w:eastAsia="仿宋_GB2312" w:cs="仿宋_GB2312"/>
          <w:color w:val="auto"/>
          <w:sz w:val="32"/>
          <w:szCs w:val="32"/>
          <w:highlight w:val="none"/>
          <w:lang w:val="en-US" w:eastAsia="zh-CN"/>
        </w:rPr>
        <w:t>年初预算为174万元，支出决算为174万元，完成年初预算的100%。决算数与年初预算数持平。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9.文化体育与传媒支出（类）文化（款）其他文化和旅游支出（项）。</w:t>
      </w:r>
      <w:r>
        <w:rPr>
          <w:rFonts w:hint="eastAsia" w:ascii="仿宋_GB2312" w:hAnsi="仿宋_GB2312" w:eastAsia="仿宋_GB2312" w:cs="仿宋_GB2312"/>
          <w:color w:val="auto"/>
          <w:sz w:val="32"/>
          <w:szCs w:val="32"/>
          <w:highlight w:val="none"/>
          <w:lang w:val="en-US" w:eastAsia="zh-CN"/>
        </w:rPr>
        <w:t>年初预算为353.99万元，支出决算为353.99万元，完成年初预算的100%。决算数与年初预算数持平。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10.文化体育与传媒支出（类）02（款）行政运行（项）。</w:t>
      </w:r>
      <w:r>
        <w:rPr>
          <w:rFonts w:hint="eastAsia" w:ascii="仿宋_GB2312" w:hAnsi="仿宋_GB2312" w:eastAsia="仿宋_GB2312" w:cs="仿宋_GB2312"/>
          <w:color w:val="auto"/>
          <w:sz w:val="32"/>
          <w:szCs w:val="32"/>
          <w:highlight w:val="none"/>
          <w:lang w:val="en-US" w:eastAsia="zh-CN"/>
        </w:rPr>
        <w:t>年初预算为65万元，支出决算为65万元，完成年初预算的100%。决算数与年初预算数持平。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11.文化体育与传媒支出（类）02（款）一般行政管理事务（项）。</w:t>
      </w:r>
      <w:r>
        <w:rPr>
          <w:rFonts w:hint="eastAsia" w:ascii="仿宋_GB2312" w:hAnsi="仿宋_GB2312" w:eastAsia="仿宋_GB2312" w:cs="仿宋_GB2312"/>
          <w:color w:val="auto"/>
          <w:sz w:val="32"/>
          <w:szCs w:val="32"/>
          <w:highlight w:val="none"/>
          <w:lang w:val="en-US" w:eastAsia="zh-CN"/>
        </w:rPr>
        <w:t>年初预算为20万元，支出决算为20万元，完成年初预算的100%。决算数与年初预算数持平。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12.文化体育与传媒支出（类）02（款）其他文物支出（项）。</w:t>
      </w:r>
      <w:r>
        <w:rPr>
          <w:rFonts w:hint="eastAsia" w:ascii="仿宋_GB2312" w:hAnsi="仿宋_GB2312" w:eastAsia="仿宋_GB2312" w:cs="仿宋_GB2312"/>
          <w:color w:val="auto"/>
          <w:sz w:val="32"/>
          <w:szCs w:val="32"/>
          <w:highlight w:val="none"/>
          <w:lang w:val="en-US" w:eastAsia="zh-CN"/>
        </w:rPr>
        <w:t>年初预算为6万元，支出决算为6万元，完成年初预算的100%。决算数与年初预算数持平。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13.文化体育与传媒支出（类）广播电视（款）广播（项）。</w:t>
      </w:r>
      <w:r>
        <w:rPr>
          <w:rFonts w:hint="eastAsia" w:ascii="仿宋_GB2312" w:hAnsi="仿宋_GB2312" w:eastAsia="仿宋_GB2312" w:cs="仿宋_GB2312"/>
          <w:color w:val="auto"/>
          <w:sz w:val="32"/>
          <w:szCs w:val="32"/>
          <w:highlight w:val="none"/>
          <w:lang w:val="en-US" w:eastAsia="zh-CN"/>
        </w:rPr>
        <w:t>年初预算为277万元，支出决算为277万元，完成年初预算的100%。决算数与年初预算数持平。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14.社会保障和就业支出（类）行政事业单位离退休（款）机关事业单位基本养老保险缴费支出（项）。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年初预算为139.41万元，支出决算为139.41万元，完成年初预算的100%。决算数与年初预算数持平。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15.社会保障和就业支出（类）行政事业单位离退休（款）其他行政事业单位离退休支出（项）。</w:t>
      </w:r>
      <w:r>
        <w:rPr>
          <w:rFonts w:hint="eastAsia" w:ascii="仿宋_GB2312" w:hAnsi="仿宋_GB2312" w:eastAsia="仿宋_GB2312" w:cs="仿宋_GB2312"/>
          <w:color w:val="auto"/>
          <w:sz w:val="32"/>
          <w:szCs w:val="32"/>
          <w:highlight w:val="none"/>
          <w:lang w:val="en-US" w:eastAsia="zh-CN"/>
        </w:rPr>
        <w:t>年初预算为52.75万元，支出决算为52.75万元，完成年初预算的100%。决算数与年初预算数持平。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16.208社会保障和就业支出（类）抚恤（款）死亡抚恤（项）。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年初预算为23.17万元，支出决算为23.17万元，完成年初预算的100%。决算数与年初预算数持平。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17.医疗卫生与计划生育支出（类）行政单位医疗（款）行政单位医疗（项）。</w:t>
      </w:r>
      <w:r>
        <w:rPr>
          <w:rFonts w:hint="eastAsia" w:ascii="仿宋_GB2312" w:hAnsi="仿宋_GB2312" w:eastAsia="仿宋_GB2312" w:cs="仿宋_GB2312"/>
          <w:color w:val="auto"/>
          <w:sz w:val="32"/>
          <w:szCs w:val="32"/>
          <w:highlight w:val="none"/>
          <w:lang w:val="en-US" w:eastAsia="zh-CN"/>
        </w:rPr>
        <w:t>年初预算为7.44万元，支出决算为7.44万元，完成年初预算的100%。决算数与年初预算数持平。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18.医疗卫生与计划生育支出（类）事业单位医疗（款）事业单位医疗（项）。</w:t>
      </w:r>
      <w:r>
        <w:rPr>
          <w:rFonts w:hint="eastAsia" w:ascii="仿宋_GB2312" w:hAnsi="仿宋_GB2312" w:eastAsia="仿宋_GB2312" w:cs="仿宋_GB2312"/>
          <w:color w:val="auto"/>
          <w:sz w:val="32"/>
          <w:szCs w:val="32"/>
          <w:highlight w:val="none"/>
          <w:lang w:val="en-US" w:eastAsia="zh-CN"/>
        </w:rPr>
        <w:t>年初预算为24.16万元，支出决算为24.16万元，完成年初预算的100%。决算数与年初预算数持平。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3138.92万元。较上年相比，减少21.92，下降0.6%，主要原因是人员经费开支减少。其中：人员经费2069.17万元，主要包括：基本工资、津贴补贴、绩效工资、机关事业单位基本养老保险缴费、其他社会保障缴费、抚恤金、生活补助、其他对个人和家庭的补助支出；公用经费1069.75万元，主要包括：办公费、印刷费、手续费、水费、电费、邮电费、取暖费、物业管理费、差旅费、维修（护）费、租赁费、培训费、专用材料费、劳务费、委托业务费、工会经费、福利费、公务用车运行维护费、其他交通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2019年度“三公”经费财政拨款支出预算为2.89万元，支出决算为2.89万元，完成预算的100%。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占0%；公务用车购置及运行费支出决算2.89万元，完成预算的100%，占100%；公务接待费支出决算0万元，完成预算的0%，占0%。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初预算为2.89万元，支出决算为2.89万元，完成年初预算的100%。决算数与年初预算数持平。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为0万元，购置车辆0辆。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2.89万元。主要用于公务用车的燃油、维修以及车辆保险。2019年期末，部门开支财政拨款的公务用车保有量为1辆。</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外宾接待支出</w:t>
      </w:r>
      <w:r>
        <w:rPr>
          <w:rFonts w:hint="eastAsia" w:ascii="仿宋" w:hAnsi="仿宋" w:eastAsia="仿宋" w:cs="仿宋"/>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其他国内公务接待支出</w:t>
      </w:r>
      <w:r>
        <w:rPr>
          <w:rFonts w:hint="eastAsia" w:ascii="仿宋" w:hAnsi="仿宋" w:eastAsia="仿宋" w:cs="仿宋"/>
          <w:color w:val="auto"/>
          <w:sz w:val="32"/>
          <w:szCs w:val="32"/>
          <w:highlight w:val="none"/>
          <w:lang w:val="en-US" w:eastAsia="zh-CN"/>
        </w:rPr>
        <w:t>0万元。2019年共接待国内来访团组0个、来宾0人次（不包括陪同人员）。</w:t>
      </w:r>
      <w:bookmarkStart w:id="0" w:name="_GoBack"/>
      <w:bookmarkEnd w:id="0"/>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严格贯彻落实《预算法》，做好年度预算草案的编制工作，全面推进财政零基预算，发挥财政资金最大效益。</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项目立项比较规范，绩效目标明确，预算编制较为合理，完成情况良好，基本达到预期绩效目标。</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sz w:val="32"/>
          <w:szCs w:val="32"/>
          <w:lang w:eastAsia="zh-CN"/>
        </w:rPr>
        <w:t>我部门</w:t>
      </w:r>
      <w:r>
        <w:rPr>
          <w:rFonts w:hint="eastAsia" w:ascii="楷体_GB2312" w:hAnsi="楷体_GB2312" w:eastAsia="楷体_GB2312" w:cs="楷体_GB2312"/>
          <w:b w:val="0"/>
          <w:bCs w:val="0"/>
          <w:sz w:val="32"/>
          <w:szCs w:val="32"/>
          <w:lang w:val="en-US" w:eastAsia="zh-CN"/>
        </w:rPr>
        <w:t>无重点绩效评价项目。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2019年度政府性基金预算财政拨款支出年初预算为1123万元，支出决算为1123万元，完成年初预算的100%。主要用于文化广场建设、旅游厕所和电影补助项目建设。</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初预算为1069.75万元，支出决算为1069.75万元，完成年初预算的100%。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初支出为1069.75万元，减少468.08万元，增长77.7%，主要原因是文化广场建设、人员增资，社保缴费基数增加。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期末，我部门共有车辆1辆，其中：省级领导干部用车0辆、主要领导干部用车0辆、机要通信用车0辆、应急保障车0辆、执法执勤用车1辆、特种专业技术用车0辆、离退休干部用车0辆、其他用车0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仿宋_GB2312" w:hAnsi="仿宋_GB2312" w:eastAsia="仿宋_GB2312" w:cs="仿宋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仿宋_GB2312" w:hAnsi="仿宋_GB2312" w:eastAsia="仿宋_GB2312" w:cs="仿宋_GB2312"/>
          <w:color w:val="auto"/>
          <w:kern w:val="0"/>
          <w:sz w:val="28"/>
          <w:szCs w:val="28"/>
          <w:highlight w:val="none"/>
          <w:lang w:val="en-US" w:eastAsia="zh-CN"/>
        </w:rPr>
      </w:pPr>
    </w:p>
    <w:p>
      <w:pPr>
        <w:widowControl/>
        <w:jc w:val="left"/>
        <w:rPr>
          <w:rFonts w:hint="eastAsia" w:ascii="仿宋_GB2312" w:hAnsi="仿宋_GB2312" w:eastAsia="仿宋_GB2312" w:cs="仿宋_GB2312"/>
          <w:color w:val="auto"/>
          <w:kern w:val="0"/>
          <w:sz w:val="28"/>
          <w:szCs w:val="28"/>
          <w:highlight w:val="none"/>
          <w:lang w:val="en-US" w:eastAsia="zh-CN"/>
        </w:rPr>
      </w:pPr>
    </w:p>
    <w:p>
      <w:pPr>
        <w:widowControl/>
        <w:jc w:val="left"/>
        <w:rPr>
          <w:rFonts w:hint="eastAsia" w:ascii="仿宋_GB2312" w:hAnsi="仿宋_GB2312" w:eastAsia="仿宋_GB2312" w:cs="仿宋_GB2312"/>
          <w:color w:val="auto"/>
          <w:kern w:val="0"/>
          <w:sz w:val="28"/>
          <w:szCs w:val="28"/>
          <w:highlight w:val="none"/>
          <w:lang w:val="en-US" w:eastAsia="zh-CN"/>
        </w:rPr>
      </w:pPr>
    </w:p>
    <w:p>
      <w:pPr>
        <w:widowControl/>
        <w:jc w:val="left"/>
        <w:rPr>
          <w:rFonts w:hint="eastAsia" w:ascii="仿宋_GB2312" w:hAnsi="仿宋_GB2312" w:eastAsia="仿宋_GB2312" w:cs="仿宋_GB2312"/>
          <w:color w:val="auto"/>
          <w:kern w:val="0"/>
          <w:sz w:val="28"/>
          <w:szCs w:val="28"/>
          <w:highlight w:val="none"/>
          <w:lang w:val="en-US" w:eastAsia="zh-CN"/>
        </w:rPr>
      </w:pPr>
    </w:p>
    <w:p>
      <w:pPr>
        <w:widowControl/>
        <w:jc w:val="left"/>
        <w:rPr>
          <w:rFonts w:hint="eastAsia" w:ascii="仿宋_GB2312" w:hAnsi="仿宋_GB2312" w:eastAsia="仿宋_GB2312" w:cs="仿宋_GB2312"/>
          <w:color w:val="auto"/>
          <w:kern w:val="0"/>
          <w:sz w:val="28"/>
          <w:szCs w:val="28"/>
          <w:highlight w:val="none"/>
          <w:lang w:val="en-US" w:eastAsia="zh-CN"/>
        </w:rPr>
      </w:pPr>
    </w:p>
    <w:p>
      <w:pPr>
        <w:widowControl/>
        <w:jc w:val="left"/>
        <w:rPr>
          <w:rFonts w:hint="eastAsia" w:ascii="仿宋_GB2312" w:hAnsi="仿宋_GB2312" w:eastAsia="仿宋_GB2312" w:cs="仿宋_GB2312"/>
          <w:color w:val="auto"/>
          <w:kern w:val="0"/>
          <w:sz w:val="28"/>
          <w:szCs w:val="28"/>
          <w:highlight w:val="none"/>
          <w:lang w:val="en-US" w:eastAsia="zh-CN"/>
        </w:rPr>
      </w:pPr>
    </w:p>
    <w:p>
      <w:pPr>
        <w:widowControl/>
        <w:jc w:val="left"/>
        <w:rPr>
          <w:rFonts w:hint="eastAsia" w:ascii="仿宋_GB2312" w:hAnsi="仿宋_GB2312" w:eastAsia="仿宋_GB2312" w:cs="仿宋_GB2312"/>
          <w:color w:val="auto"/>
          <w:kern w:val="0"/>
          <w:sz w:val="28"/>
          <w:szCs w:val="28"/>
          <w:highlight w:val="none"/>
          <w:lang w:val="en-US" w:eastAsia="zh-CN"/>
        </w:rPr>
      </w:pPr>
    </w:p>
    <w:p>
      <w:pPr>
        <w:jc w:val="center"/>
        <w:outlineLvl w:val="0"/>
        <w:rPr>
          <w:rFonts w:hint="eastAsia" w:ascii="仿宋_GB2312" w:hAnsi="仿宋_GB2312" w:eastAsia="仿宋_GB2312" w:cs="仿宋_GB2312"/>
          <w:color w:val="auto"/>
          <w:sz w:val="48"/>
          <w:szCs w:val="48"/>
          <w:highlight w:val="none"/>
        </w:rPr>
      </w:pPr>
      <w:r>
        <w:rPr>
          <w:rFonts w:hint="eastAsia" w:ascii="仿宋_GB2312" w:hAnsi="仿宋_GB2312" w:eastAsia="仿宋_GB2312" w:cs="仿宋_GB2312"/>
          <w:color w:val="auto"/>
          <w:sz w:val="48"/>
          <w:szCs w:val="48"/>
          <w:highlight w:val="none"/>
        </w:rPr>
        <w:t>第</w:t>
      </w:r>
      <w:r>
        <w:rPr>
          <w:rFonts w:hint="eastAsia" w:ascii="仿宋_GB2312" w:hAnsi="仿宋_GB2312" w:eastAsia="仿宋_GB2312" w:cs="仿宋_GB2312"/>
          <w:color w:val="auto"/>
          <w:sz w:val="48"/>
          <w:szCs w:val="48"/>
          <w:highlight w:val="none"/>
          <w:lang w:eastAsia="zh-CN"/>
        </w:rPr>
        <w:t>四</w:t>
      </w:r>
      <w:r>
        <w:rPr>
          <w:rFonts w:hint="eastAsia" w:ascii="仿宋_GB2312" w:hAnsi="仿宋_GB2312" w:eastAsia="仿宋_GB2312" w:cs="仿宋_GB2312"/>
          <w:color w:val="auto"/>
          <w:sz w:val="48"/>
          <w:szCs w:val="48"/>
          <w:highlight w:val="none"/>
        </w:rPr>
        <w:t>部分</w:t>
      </w:r>
      <w:r>
        <w:rPr>
          <w:rFonts w:hint="eastAsia" w:ascii="仿宋_GB2312" w:hAnsi="仿宋_GB2312" w:eastAsia="仿宋_GB2312" w:cs="仿宋_GB2312"/>
          <w:color w:val="auto"/>
          <w:sz w:val="48"/>
          <w:szCs w:val="48"/>
          <w:highlight w:val="none"/>
          <w:lang w:val="en-US" w:eastAsia="zh-CN"/>
        </w:rPr>
        <w:t xml:space="preserve">  </w:t>
      </w:r>
      <w:r>
        <w:rPr>
          <w:rFonts w:hint="eastAsia" w:ascii="仿宋_GB2312" w:hAnsi="仿宋_GB2312" w:eastAsia="仿宋_GB2312" w:cs="仿宋_GB2312"/>
          <w:color w:val="auto"/>
          <w:sz w:val="48"/>
          <w:szCs w:val="48"/>
          <w:highlight w:val="none"/>
        </w:rPr>
        <w:t>名词解释</w:t>
      </w:r>
    </w:p>
    <w:p>
      <w:pPr>
        <w:jc w:val="center"/>
        <w:outlineLvl w:val="9"/>
        <w:rPr>
          <w:rFonts w:hint="eastAsia" w:ascii="仿宋_GB2312" w:hAnsi="仿宋_GB2312" w:eastAsia="仿宋_GB2312" w:cs="仿宋_GB2312"/>
          <w:color w:val="auto"/>
          <w:sz w:val="48"/>
          <w:szCs w:val="48"/>
          <w:highlight w:val="none"/>
        </w:rPr>
      </w:pPr>
    </w:p>
    <w:p>
      <w:pPr>
        <w:jc w:val="center"/>
        <w:outlineLvl w:val="0"/>
        <w:rPr>
          <w:rFonts w:hint="eastAsia" w:ascii="仿宋_GB2312" w:hAnsi="仿宋_GB2312" w:eastAsia="仿宋_GB2312" w:cs="仿宋_GB2312"/>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167C2"/>
    <w:multiLevelType w:val="singleLevel"/>
    <w:tmpl w:val="C34167C2"/>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750C9216"/>
    <w:multiLevelType w:val="singleLevel"/>
    <w:tmpl w:val="750C9216"/>
    <w:lvl w:ilvl="0" w:tentative="0">
      <w:start w:val="3"/>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12201BA"/>
    <w:rsid w:val="01E50206"/>
    <w:rsid w:val="03DC2804"/>
    <w:rsid w:val="03F54814"/>
    <w:rsid w:val="05DA47F4"/>
    <w:rsid w:val="05EF2A9B"/>
    <w:rsid w:val="071531C3"/>
    <w:rsid w:val="0727257D"/>
    <w:rsid w:val="080B121E"/>
    <w:rsid w:val="082B63CB"/>
    <w:rsid w:val="082C7F07"/>
    <w:rsid w:val="09A2067E"/>
    <w:rsid w:val="0B2B0A29"/>
    <w:rsid w:val="0BA304CD"/>
    <w:rsid w:val="0C38035C"/>
    <w:rsid w:val="0C667CB4"/>
    <w:rsid w:val="0D083355"/>
    <w:rsid w:val="0D264BB1"/>
    <w:rsid w:val="0D2842A8"/>
    <w:rsid w:val="0D9062E7"/>
    <w:rsid w:val="0E98683F"/>
    <w:rsid w:val="10F24022"/>
    <w:rsid w:val="12F81E26"/>
    <w:rsid w:val="145D2901"/>
    <w:rsid w:val="151634C8"/>
    <w:rsid w:val="15905ECD"/>
    <w:rsid w:val="184238BA"/>
    <w:rsid w:val="19B96E8E"/>
    <w:rsid w:val="1B1E0724"/>
    <w:rsid w:val="1BF14BB7"/>
    <w:rsid w:val="1C5C5DAD"/>
    <w:rsid w:val="1CBD0CE2"/>
    <w:rsid w:val="1F2729EF"/>
    <w:rsid w:val="1F811484"/>
    <w:rsid w:val="20F25821"/>
    <w:rsid w:val="22F20A2F"/>
    <w:rsid w:val="236667C0"/>
    <w:rsid w:val="24D85CAF"/>
    <w:rsid w:val="24FD7E18"/>
    <w:rsid w:val="25144AC5"/>
    <w:rsid w:val="25B951BE"/>
    <w:rsid w:val="26FB3DD6"/>
    <w:rsid w:val="27CB6430"/>
    <w:rsid w:val="2A9C54A6"/>
    <w:rsid w:val="2ABC4E8F"/>
    <w:rsid w:val="2B22647E"/>
    <w:rsid w:val="2BB81B59"/>
    <w:rsid w:val="2CC76450"/>
    <w:rsid w:val="2CD7012E"/>
    <w:rsid w:val="2D36408A"/>
    <w:rsid w:val="2DBD7415"/>
    <w:rsid w:val="2E642840"/>
    <w:rsid w:val="2E7E72B8"/>
    <w:rsid w:val="2E962DF7"/>
    <w:rsid w:val="2F124E7D"/>
    <w:rsid w:val="2FD3060D"/>
    <w:rsid w:val="30350EBD"/>
    <w:rsid w:val="31D03448"/>
    <w:rsid w:val="31DB68CC"/>
    <w:rsid w:val="31EE2784"/>
    <w:rsid w:val="33C7781A"/>
    <w:rsid w:val="34AE6112"/>
    <w:rsid w:val="34FD4804"/>
    <w:rsid w:val="366C02F5"/>
    <w:rsid w:val="36D10769"/>
    <w:rsid w:val="36D22576"/>
    <w:rsid w:val="3840433B"/>
    <w:rsid w:val="387927B5"/>
    <w:rsid w:val="3A954647"/>
    <w:rsid w:val="3D351315"/>
    <w:rsid w:val="3D5A0037"/>
    <w:rsid w:val="3DA14727"/>
    <w:rsid w:val="3E396404"/>
    <w:rsid w:val="3E8A5D1C"/>
    <w:rsid w:val="3ECC5C74"/>
    <w:rsid w:val="3ED46027"/>
    <w:rsid w:val="407266D9"/>
    <w:rsid w:val="41DA35D4"/>
    <w:rsid w:val="43706C39"/>
    <w:rsid w:val="44B61080"/>
    <w:rsid w:val="44C950CC"/>
    <w:rsid w:val="46231D5C"/>
    <w:rsid w:val="46817E3F"/>
    <w:rsid w:val="47252E05"/>
    <w:rsid w:val="48056DC3"/>
    <w:rsid w:val="48516E04"/>
    <w:rsid w:val="49266331"/>
    <w:rsid w:val="4A0271F1"/>
    <w:rsid w:val="4A453054"/>
    <w:rsid w:val="4B147F3C"/>
    <w:rsid w:val="4B493992"/>
    <w:rsid w:val="4C6C625B"/>
    <w:rsid w:val="4C8F4781"/>
    <w:rsid w:val="4D3D47C6"/>
    <w:rsid w:val="4D8C0A7D"/>
    <w:rsid w:val="4F702056"/>
    <w:rsid w:val="4FC10099"/>
    <w:rsid w:val="50987AAA"/>
    <w:rsid w:val="50C8334B"/>
    <w:rsid w:val="51707E34"/>
    <w:rsid w:val="52165DE2"/>
    <w:rsid w:val="536A1A37"/>
    <w:rsid w:val="53F61BD0"/>
    <w:rsid w:val="553B638F"/>
    <w:rsid w:val="568114FA"/>
    <w:rsid w:val="568737BB"/>
    <w:rsid w:val="56E244BA"/>
    <w:rsid w:val="57660DE4"/>
    <w:rsid w:val="5846257D"/>
    <w:rsid w:val="5A1E2A8D"/>
    <w:rsid w:val="5BA511E2"/>
    <w:rsid w:val="5BBF33CD"/>
    <w:rsid w:val="5D914E11"/>
    <w:rsid w:val="5E962EC4"/>
    <w:rsid w:val="5F152507"/>
    <w:rsid w:val="5FA440A6"/>
    <w:rsid w:val="606D3F2E"/>
    <w:rsid w:val="60D07BA6"/>
    <w:rsid w:val="63056908"/>
    <w:rsid w:val="66032111"/>
    <w:rsid w:val="66132327"/>
    <w:rsid w:val="671C08BB"/>
    <w:rsid w:val="6868678A"/>
    <w:rsid w:val="69E54E6E"/>
    <w:rsid w:val="6B1F39DE"/>
    <w:rsid w:val="6B227233"/>
    <w:rsid w:val="6D101368"/>
    <w:rsid w:val="6DEB56D6"/>
    <w:rsid w:val="6E2D0B6D"/>
    <w:rsid w:val="6F4F642F"/>
    <w:rsid w:val="6F640286"/>
    <w:rsid w:val="6FD4244A"/>
    <w:rsid w:val="713A212F"/>
    <w:rsid w:val="71695021"/>
    <w:rsid w:val="7170390C"/>
    <w:rsid w:val="71C52037"/>
    <w:rsid w:val="721D47D9"/>
    <w:rsid w:val="72567CE5"/>
    <w:rsid w:val="7260302B"/>
    <w:rsid w:val="744F4407"/>
    <w:rsid w:val="747475CC"/>
    <w:rsid w:val="75265254"/>
    <w:rsid w:val="758157BC"/>
    <w:rsid w:val="75A56566"/>
    <w:rsid w:val="75E77C5C"/>
    <w:rsid w:val="77561271"/>
    <w:rsid w:val="778A31B1"/>
    <w:rsid w:val="78C018EE"/>
    <w:rsid w:val="78E64AB9"/>
    <w:rsid w:val="790601F1"/>
    <w:rsid w:val="79883027"/>
    <w:rsid w:val="79DA7401"/>
    <w:rsid w:val="7A044C9C"/>
    <w:rsid w:val="7A6D6AE3"/>
    <w:rsid w:val="7A9443DF"/>
    <w:rsid w:val="7BD1407F"/>
    <w:rsid w:val="7D316C20"/>
    <w:rsid w:val="7E8F602F"/>
    <w:rsid w:val="7EAA5685"/>
    <w:rsid w:val="7FA52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0"/>
    <w:pPr>
      <w:widowControl/>
      <w:spacing w:line="360" w:lineRule="auto"/>
      <w:ind w:firstLine="608"/>
      <w:jc w:val="left"/>
    </w:pPr>
    <w:rPr>
      <w:rFonts w:ascii="仿宋_GB2312" w:hAnsi="宋体" w:eastAsia="仿宋_GB2312"/>
      <w:color w:val="000000"/>
      <w:kern w:val="0"/>
      <w:sz w:val="28"/>
    </w:rPr>
  </w:style>
  <w:style w:type="character" w:customStyle="1" w:styleId="9">
    <w:name w:val="font11"/>
    <w:basedOn w:val="8"/>
    <w:qFormat/>
    <w:uiPriority w:val="0"/>
    <w:rPr>
      <w:rFonts w:hint="eastAsia" w:ascii="宋体" w:hAnsi="宋体" w:eastAsia="宋体" w:cs="宋体"/>
      <w:color w:val="000000"/>
      <w:sz w:val="20"/>
      <w:szCs w:val="20"/>
      <w:u w:val="none"/>
    </w:rPr>
  </w:style>
  <w:style w:type="character" w:customStyle="1" w:styleId="10">
    <w:name w:val="font01"/>
    <w:basedOn w:val="8"/>
    <w:qFormat/>
    <w:uiPriority w:val="0"/>
    <w:rPr>
      <w:rFonts w:hint="eastAsia" w:ascii="宋体" w:hAnsi="宋体" w:eastAsia="宋体" w:cs="宋体"/>
      <w:color w:val="000000"/>
      <w:sz w:val="22"/>
      <w:szCs w:val="22"/>
      <w:u w:val="none"/>
    </w:rPr>
  </w:style>
  <w:style w:type="character" w:customStyle="1" w:styleId="11">
    <w:name w:val="font51"/>
    <w:basedOn w:val="8"/>
    <w:qFormat/>
    <w:uiPriority w:val="0"/>
    <w:rPr>
      <w:rFonts w:hint="eastAsia" w:ascii="宋体" w:hAnsi="宋体" w:eastAsia="宋体" w:cs="宋体"/>
      <w:color w:val="000000"/>
      <w:sz w:val="24"/>
      <w:szCs w:val="24"/>
      <w:u w:val="none"/>
    </w:rPr>
  </w:style>
  <w:style w:type="character" w:customStyle="1" w:styleId="12">
    <w:name w:val="font4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1</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2020-10-27T08:23:00Z</cp:lastPrinted>
  <dcterms:modified xsi:type="dcterms:W3CDTF">2020-12-01T02:37:51Z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