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lang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濮阳县水利</w:t>
      </w:r>
      <w:r>
        <w:rPr>
          <w:rFonts w:hint="eastAsia" w:ascii="黑体" w:hAnsi="黑体" w:eastAsia="黑体" w:cs="黑体"/>
          <w:color w:val="auto"/>
          <w:sz w:val="52"/>
          <w:szCs w:val="52"/>
          <w:highlight w:val="none"/>
        </w:rPr>
        <w:t>局部门决算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〇年九</w:t>
      </w:r>
      <w:r>
        <w:rPr>
          <w:rFonts w:hint="eastAsia" w:ascii="黑体" w:hAnsi="黑体" w:eastAsia="黑体" w:cs="黑体"/>
          <w:color w:val="auto"/>
          <w:sz w:val="32"/>
          <w:szCs w:val="32"/>
          <w:highlight w:val="none"/>
          <w:lang w:val="en-US"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濮阳县水利</w:t>
      </w:r>
      <w:r>
        <w:rPr>
          <w:rFonts w:hint="eastAsia" w:ascii="黑体" w:hAnsi="黑体" w:eastAsia="黑体" w:cs="黑体"/>
          <w:color w:val="auto"/>
          <w:sz w:val="32"/>
          <w:szCs w:val="32"/>
          <w:highlight w:val="none"/>
        </w:rPr>
        <w:t>局概况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jc w:val="both"/>
        <w:rPr>
          <w:rFonts w:hint="default" w:ascii="黑体" w:hAnsi="黑体" w:eastAsia="黑体" w:cs="黑体"/>
          <w:color w:val="auto"/>
          <w:sz w:val="32"/>
          <w:szCs w:val="32"/>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濮阳县水利</w:t>
      </w:r>
      <w:r>
        <w:rPr>
          <w:rFonts w:hint="eastAsia" w:ascii="黑体" w:hAnsi="黑体" w:eastAsia="黑体" w:cs="黑体"/>
          <w:color w:val="auto"/>
          <w:sz w:val="48"/>
          <w:szCs w:val="48"/>
          <w:highlight w:val="none"/>
        </w:rPr>
        <w:t>局概况</w:t>
      </w:r>
    </w:p>
    <w:p>
      <w:pPr>
        <w:jc w:val="both"/>
        <w:rPr>
          <w:rFonts w:hint="default" w:ascii="黑体" w:hAnsi="黑体" w:eastAsia="黑体" w:cs="黑体"/>
          <w:color w:val="auto"/>
          <w:sz w:val="32"/>
          <w:szCs w:val="32"/>
          <w:highlight w:val="none"/>
          <w:lang w:val="en-US" w:eastAsia="zh-CN"/>
        </w:rPr>
      </w:pPr>
    </w:p>
    <w:p/>
    <w:p/>
    <w:p/>
    <w:p/>
    <w:p/>
    <w:p/>
    <w:p/>
    <w:p/>
    <w:p/>
    <w:p/>
    <w:p/>
    <w:p/>
    <w:p/>
    <w:p/>
    <w:p/>
    <w:p/>
    <w:p/>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组织编定全县水利发展规划、中长期和年度计划；</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负责保障水资源的合理开发利用，拟定全县水利战略规划和政策，组织编制主要河流的防汛和流域、区域综合规划；</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组织实施水利工程建设有关制度，负责提出水利固定资产投资规模、方向和国家、省、市、县财政性资金安排的意见，按照规定权限，对规划和年度计划规模内固定资产投资项目实施管理；</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提出水利建设投资安排建议并组织实施；负责水行政复议工作；</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负责防治水旱灾害；组织、协调、监督、指挥全县防汛抗旱工作，对主要河流和重要水利工程实施防汛抗旱调度和应急水量调度，编制全县防汛抗旱应急预案并组织实施；</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指导水利突发公共事件的应急管理工作；</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负责节约用水工作；</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按照规划承担编制大中型水利基本建设项目建议书、可行性研究报告和初步设计等相关工作；</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负责全县水利设施、水域及其岸线的管理和保护，指导河流及滩地的治理和开发；</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负责防治水土流失；</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指导农村水利工作；负责重大涉水违法事件的查处，指导全县水政监察和水行政执法，协调、仲裁并处理跨乡（镇）水事纠纷；</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开展全县水利和渔业科技工作；</w:t>
      </w:r>
    </w:p>
    <w:p>
      <w:pPr>
        <w:keepNext w:val="0"/>
        <w:keepLines w:val="0"/>
        <w:pageBreakBefore w:val="0"/>
        <w:widowControl/>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负责移民工作；</w:t>
      </w:r>
    </w:p>
    <w:p>
      <w:pPr>
        <w:keepNext w:val="0"/>
        <w:keepLines w:val="0"/>
        <w:pageBreakBefore w:val="0"/>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负责全县引黄灌溉工作；</w:t>
      </w:r>
    </w:p>
    <w:p>
      <w:pPr>
        <w:keepNext w:val="0"/>
        <w:keepLines w:val="0"/>
        <w:pageBreakBefore w:val="0"/>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主管全县水产及渔政渔船检验监督管理工作；</w:t>
      </w:r>
    </w:p>
    <w:p>
      <w:pPr>
        <w:keepNext w:val="0"/>
        <w:keepLines w:val="0"/>
        <w:pageBreakBefore w:val="0"/>
        <w:numPr>
          <w:ilvl w:val="0"/>
          <w:numId w:val="2"/>
        </w:numPr>
        <w:kinsoku/>
        <w:wordWrap/>
        <w:overflowPunct/>
        <w:topLinePunct w:val="0"/>
        <w:autoSpaceDE/>
        <w:autoSpaceDN/>
        <w:bidi w:val="0"/>
        <w:adjustRightInd/>
        <w:snapToGrid/>
        <w:spacing w:line="324" w:lineRule="auto"/>
        <w:ind w:firstLine="960" w:firstLineChars="300"/>
        <w:textAlignment w:val="auto"/>
        <w:outlineLvl w:val="9"/>
        <w:rPr>
          <w:rFonts w:hint="eastAsia" w:ascii="仿宋_GB2312" w:hAnsi="宋体" w:eastAsia="仿宋_GB2312" w:cs="宋体"/>
          <w:kern w:val="0"/>
          <w:sz w:val="32"/>
          <w:szCs w:val="32"/>
          <w:lang w:eastAsia="zh-CN"/>
        </w:rPr>
      </w:pPr>
      <w:r>
        <w:rPr>
          <w:rFonts w:hint="eastAsia" w:ascii="仿宋_GB2312" w:hAnsi="仿宋_GB2312" w:eastAsia="仿宋_GB2312" w:cs="仿宋_GB2312"/>
          <w:b w:val="0"/>
          <w:bCs w:val="0"/>
          <w:sz w:val="32"/>
          <w:szCs w:val="32"/>
          <w:lang w:eastAsia="zh-CN"/>
        </w:rPr>
        <w:t>负责城市水利相关工作；</w:t>
      </w:r>
    </w:p>
    <w:p>
      <w:pPr>
        <w:widowControl/>
        <w:numPr>
          <w:ilvl w:val="0"/>
          <w:numId w:val="0"/>
        </w:numPr>
        <w:ind w:left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濮阳县水利局内设机构7个，包括：办公室、人事教育股、财务股、规划计划股、农村水利股、建设与管理股、水政水资源股。</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从决算单位构成看，濮阳县水利局部门决算包括：本级决算。</w:t>
      </w:r>
      <w:r>
        <w:rPr>
          <w:rFonts w:hint="eastAsia" w:ascii="仿宋_GB2312" w:hAnsi="仿宋_GB2312" w:eastAsia="仿宋_GB2312" w:cs="仿宋_GB2312"/>
          <w:sz w:val="32"/>
          <w:szCs w:val="32"/>
          <w:lang w:val="en-US" w:eastAsia="zh-CN"/>
        </w:rPr>
        <w:t>另外，由水利局管理的防汛办部门决算纳入我部门汇总反映。</w:t>
      </w:r>
    </w:p>
    <w:p/>
    <w:p/>
    <w:p/>
    <w:p/>
    <w:p/>
    <w:p/>
    <w:p/>
    <w:p/>
    <w:p/>
    <w:p/>
    <w:p/>
    <w:p/>
    <w:p/>
    <w:p/>
    <w:p/>
    <w:p/>
    <w:p/>
    <w:p/>
    <w:p/>
    <w:p/>
    <w:p/>
    <w:p/>
    <w:p/>
    <w:p/>
    <w:p/>
    <w:p/>
    <w:p/>
    <w:p/>
    <w:p/>
    <w:p/>
    <w:p/>
    <w:p/>
    <w:p>
      <w:pPr>
        <w:numPr>
          <w:ilvl w:val="0"/>
          <w:numId w:val="3"/>
        </w:num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pgNumType w:fmt="numberInDash" w:start="1"/>
          <w:cols w:space="720" w:num="1"/>
          <w:docGrid w:type="lines" w:linePitch="312" w:charSpace="0"/>
        </w:sectPr>
      </w:pPr>
    </w:p>
    <w:p>
      <w:pPr>
        <w:widowControl w:val="0"/>
        <w:numPr>
          <w:ilvl w:val="0"/>
          <w:numId w:val="0"/>
        </w:numPr>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eastAsia="zh-CN"/>
        </w:rPr>
        <w:object>
          <v:shape id="_x0000_i1025" o:spt="75" type="#_x0000_t75" style="height:471pt;width:641.25pt;" o:ole="t" filled="f" o:preferrelative="t" stroked="f" coordsize="21600,21600">
            <v:path/>
            <v:fill on="f" focussize="0,0"/>
            <v:stroke on="f"/>
            <v:imagedata r:id="rId6" o:title=""/>
            <o:lock v:ext="edit" aspectratio="t"/>
            <w10:wrap type="none"/>
            <w10:anchorlock/>
          </v:shape>
          <o:OLEObject Type="Embed" ProgID="Excel.Sheet.8" ShapeID="_x0000_i1025" DrawAspect="Content" ObjectID="_1468075725" r:id="rId5">
            <o:LockedField>false</o:LockedField>
          </o:OLEObject>
        </w:object>
      </w:r>
    </w:p>
    <w:tbl>
      <w:tblPr>
        <w:tblStyle w:val="5"/>
        <w:tblW w:w="13988" w:type="dxa"/>
        <w:tblInd w:w="0" w:type="dxa"/>
        <w:shd w:val="clear" w:color="auto" w:fill="auto"/>
        <w:tblLayout w:type="autofit"/>
        <w:tblCellMar>
          <w:top w:w="0" w:type="dxa"/>
          <w:left w:w="0" w:type="dxa"/>
          <w:bottom w:w="0" w:type="dxa"/>
          <w:right w:w="0" w:type="dxa"/>
        </w:tblCellMar>
      </w:tblPr>
      <w:tblGrid>
        <w:gridCol w:w="1802"/>
        <w:gridCol w:w="36"/>
        <w:gridCol w:w="57"/>
        <w:gridCol w:w="5448"/>
        <w:gridCol w:w="1236"/>
        <w:gridCol w:w="1220"/>
        <w:gridCol w:w="695"/>
        <w:gridCol w:w="695"/>
        <w:gridCol w:w="695"/>
        <w:gridCol w:w="695"/>
        <w:gridCol w:w="1409"/>
      </w:tblGrid>
      <w:tr>
        <w:tblPrEx>
          <w:shd w:val="clear" w:color="auto" w:fill="auto"/>
          <w:tblCellMar>
            <w:top w:w="0" w:type="dxa"/>
            <w:left w:w="0" w:type="dxa"/>
            <w:bottom w:w="0" w:type="dxa"/>
            <w:right w:w="0" w:type="dxa"/>
          </w:tblCellMar>
        </w:tblPrEx>
        <w:trPr>
          <w:trHeight w:val="390" w:hRule="atLeast"/>
        </w:trPr>
        <w:tc>
          <w:tcPr>
            <w:tcW w:w="1628"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3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5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2268" w:type="dxa"/>
            <w:gridSpan w:val="8"/>
            <w:tcBorders>
              <w:top w:val="nil"/>
              <w:left w:val="nil"/>
              <w:bottom w:val="nil"/>
              <w:right w:val="nil"/>
            </w:tcBorders>
            <w:shd w:val="clear" w:color="auto" w:fill="auto"/>
            <w:noWrap/>
            <w:tcMar>
              <w:top w:w="15" w:type="dxa"/>
              <w:left w:w="15" w:type="dxa"/>
              <w:right w:w="15" w:type="dxa"/>
            </w:tcMar>
            <w:vAlign w:val="bottom"/>
          </w:tcPr>
          <w:p>
            <w:pPr>
              <w:ind w:firstLine="4800" w:firstLineChars="1600"/>
              <w:rPr>
                <w:rFonts w:hint="default" w:ascii="Arial" w:hAnsi="Arial" w:eastAsia="宋体"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4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4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部门：濮阳县水利局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4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1375" w:type="dxa"/>
            <w:vMerge w:val="restart"/>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本年收入合计</w:t>
            </w:r>
          </w:p>
        </w:tc>
        <w:tc>
          <w:tcPr>
            <w:tcW w:w="1282" w:type="dxa"/>
            <w:vMerge w:val="restart"/>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财政拨款收入</w:t>
            </w:r>
          </w:p>
        </w:tc>
        <w:tc>
          <w:tcPr>
            <w:tcW w:w="856" w:type="dxa"/>
            <w:vMerge w:val="restart"/>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上级补助收入</w:t>
            </w:r>
          </w:p>
        </w:tc>
        <w:tc>
          <w:tcPr>
            <w:tcW w:w="856" w:type="dxa"/>
            <w:vMerge w:val="restart"/>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事业收入</w:t>
            </w:r>
          </w:p>
        </w:tc>
        <w:tc>
          <w:tcPr>
            <w:tcW w:w="856" w:type="dxa"/>
            <w:vMerge w:val="restart"/>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经营收入</w:t>
            </w:r>
          </w:p>
        </w:tc>
        <w:tc>
          <w:tcPr>
            <w:tcW w:w="856" w:type="dxa"/>
            <w:vMerge w:val="restart"/>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附属单位上缴收入</w:t>
            </w:r>
          </w:p>
        </w:tc>
        <w:tc>
          <w:tcPr>
            <w:tcW w:w="1273" w:type="dxa"/>
            <w:vMerge w:val="restart"/>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其他收入</w:t>
            </w:r>
          </w:p>
        </w:tc>
      </w:tr>
      <w:tr>
        <w:tblPrEx>
          <w:tblCellMar>
            <w:top w:w="0" w:type="dxa"/>
            <w:left w:w="0" w:type="dxa"/>
            <w:bottom w:w="0" w:type="dxa"/>
            <w:right w:w="0" w:type="dxa"/>
          </w:tblCellMar>
        </w:tblPrEx>
        <w:trPr>
          <w:trHeight w:val="240" w:hRule="atLeast"/>
        </w:trPr>
        <w:tc>
          <w:tcPr>
            <w:tcW w:w="1720" w:type="dxa"/>
            <w:gridSpan w:val="3"/>
            <w:vMerge w:val="restart"/>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功能分类科目编码</w:t>
            </w:r>
          </w:p>
        </w:tc>
        <w:tc>
          <w:tcPr>
            <w:tcW w:w="0" w:type="auto"/>
            <w:vMerge w:val="restart"/>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科目名称</w:t>
            </w:r>
          </w:p>
        </w:tc>
        <w:tc>
          <w:tcPr>
            <w:tcW w:w="1375"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282"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273"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r>
      <w:tr>
        <w:tblPrEx>
          <w:tblCellMar>
            <w:top w:w="0" w:type="dxa"/>
            <w:left w:w="0" w:type="dxa"/>
            <w:bottom w:w="0" w:type="dxa"/>
            <w:right w:w="0" w:type="dxa"/>
          </w:tblCellMar>
        </w:tblPrEx>
        <w:trPr>
          <w:trHeight w:val="240" w:hRule="atLeast"/>
        </w:trPr>
        <w:tc>
          <w:tcPr>
            <w:tcW w:w="1720" w:type="dxa"/>
            <w:gridSpan w:val="3"/>
            <w:vMerge w:val="continue"/>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75"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282"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273"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r>
      <w:tr>
        <w:tblPrEx>
          <w:tblCellMar>
            <w:top w:w="0" w:type="dxa"/>
            <w:left w:w="0" w:type="dxa"/>
            <w:bottom w:w="0" w:type="dxa"/>
            <w:right w:w="0" w:type="dxa"/>
          </w:tblCellMar>
        </w:tblPrEx>
        <w:trPr>
          <w:trHeight w:val="240" w:hRule="atLeast"/>
        </w:trPr>
        <w:tc>
          <w:tcPr>
            <w:tcW w:w="1720" w:type="dxa"/>
            <w:gridSpan w:val="3"/>
            <w:vMerge w:val="continue"/>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75"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282"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56"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273" w:type="dxa"/>
            <w:vMerge w:val="continue"/>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r>
      <w:tr>
        <w:tblPrEx>
          <w:tblCellMar>
            <w:top w:w="0" w:type="dxa"/>
            <w:left w:w="0" w:type="dxa"/>
            <w:bottom w:w="0" w:type="dxa"/>
            <w:right w:w="0" w:type="dxa"/>
          </w:tblCellMar>
        </w:tblPrEx>
        <w:trPr>
          <w:trHeight w:val="240"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栏次</w:t>
            </w:r>
          </w:p>
        </w:tc>
        <w:tc>
          <w:tcPr>
            <w:tcW w:w="1375" w:type="dxa"/>
            <w:tcBorders>
              <w:top w:val="nil"/>
              <w:left w:val="nil"/>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w:t>
            </w:r>
          </w:p>
        </w:tc>
        <w:tc>
          <w:tcPr>
            <w:tcW w:w="1282" w:type="dxa"/>
            <w:tcBorders>
              <w:top w:val="nil"/>
              <w:left w:val="nil"/>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w:t>
            </w:r>
          </w:p>
        </w:tc>
        <w:tc>
          <w:tcPr>
            <w:tcW w:w="85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3</w:t>
            </w:r>
          </w:p>
        </w:tc>
        <w:tc>
          <w:tcPr>
            <w:tcW w:w="85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w:t>
            </w:r>
          </w:p>
        </w:tc>
        <w:tc>
          <w:tcPr>
            <w:tcW w:w="85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w:t>
            </w:r>
          </w:p>
        </w:tc>
        <w:tc>
          <w:tcPr>
            <w:tcW w:w="856"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6</w:t>
            </w:r>
          </w:p>
        </w:tc>
        <w:tc>
          <w:tcPr>
            <w:tcW w:w="1273"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7</w:t>
            </w:r>
          </w:p>
        </w:tc>
      </w:tr>
      <w:tr>
        <w:tblPrEx>
          <w:tblCellMar>
            <w:top w:w="0" w:type="dxa"/>
            <w:left w:w="0" w:type="dxa"/>
            <w:bottom w:w="0" w:type="dxa"/>
            <w:right w:w="0" w:type="dxa"/>
          </w:tblCellMar>
        </w:tblPrEx>
        <w:trPr>
          <w:trHeight w:val="240"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themeColor="text1"/>
                <w:sz w:val="20"/>
                <w:szCs w:val="20"/>
                <w:highlight w:val="none"/>
                <w:u w:val="none"/>
                <w14:textFill>
                  <w14:solidFill>
                    <w14:schemeClr w14:val="tx1"/>
                  </w14:solidFill>
                </w14:textFill>
              </w:rPr>
            </w:pPr>
            <w:r>
              <w:rPr>
                <w:rFonts w:hint="default" w:ascii="Arial" w:hAnsi="Arial" w:eastAsia="宋体" w:cs="Arial"/>
                <w:i w:val="0"/>
                <w:color w:val="000000" w:themeColor="text1"/>
                <w:kern w:val="0"/>
                <w:sz w:val="20"/>
                <w:szCs w:val="20"/>
                <w:highlight w:val="none"/>
                <w:u w:val="none"/>
                <w:lang w:val="en-US" w:eastAsia="zh-CN" w:bidi="ar"/>
                <w14:textFill>
                  <w14:solidFill>
                    <w14:schemeClr w14:val="tx1"/>
                  </w14:solidFill>
                </w14:textFill>
              </w:rPr>
              <w:t>39527.5</w:t>
            </w:r>
            <w:r>
              <w:rPr>
                <w:rFonts w:hint="eastAsia" w:ascii="Arial" w:hAnsi="Arial" w:cs="Arial"/>
                <w:i w:val="0"/>
                <w:color w:val="000000" w:themeColor="text1"/>
                <w:kern w:val="0"/>
                <w:sz w:val="20"/>
                <w:szCs w:val="20"/>
                <w:highlight w:val="none"/>
                <w:u w:val="none"/>
                <w:lang w:val="en-US" w:eastAsia="zh-CN" w:bidi="ar"/>
                <w14:textFill>
                  <w14:solidFill>
                    <w14:schemeClr w14:val="tx1"/>
                  </w14:solidFill>
                </w14:textFill>
              </w:rPr>
              <w:t>1</w:t>
            </w:r>
            <w:r>
              <w:rPr>
                <w:rFonts w:hint="default" w:ascii="Arial" w:hAnsi="Arial" w:eastAsia="宋体" w:cs="Arial"/>
                <w:i w:val="0"/>
                <w:color w:val="000000" w:themeColor="text1"/>
                <w:kern w:val="0"/>
                <w:sz w:val="20"/>
                <w:szCs w:val="20"/>
                <w:highlight w:val="none"/>
                <w:u w:val="none"/>
                <w:lang w:val="en-US" w:eastAsia="zh-CN" w:bidi="ar"/>
                <w14:textFill>
                  <w14:solidFill>
                    <w14:schemeClr w14:val="tx1"/>
                  </w14:solidFill>
                </w14:textFill>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themeColor="text1"/>
                <w:sz w:val="20"/>
                <w:szCs w:val="20"/>
                <w:highlight w:val="none"/>
                <w:u w:val="none"/>
                <w14:textFill>
                  <w14:solidFill>
                    <w14:schemeClr w14:val="tx1"/>
                  </w14:solidFill>
                </w14:textFill>
              </w:rPr>
            </w:pPr>
            <w:r>
              <w:rPr>
                <w:rFonts w:hint="default" w:ascii="Arial" w:hAnsi="Arial" w:eastAsia="宋体" w:cs="Arial"/>
                <w:i w:val="0"/>
                <w:color w:val="000000" w:themeColor="text1"/>
                <w:kern w:val="0"/>
                <w:sz w:val="20"/>
                <w:szCs w:val="20"/>
                <w:highlight w:val="none"/>
                <w:u w:val="none"/>
                <w:lang w:val="en-US" w:eastAsia="zh-CN" w:bidi="ar"/>
                <w14:textFill>
                  <w14:solidFill>
                    <w14:schemeClr w14:val="tx1"/>
                  </w14:solidFill>
                </w14:textFill>
              </w:rPr>
              <w:t>39527.5</w:t>
            </w:r>
            <w:r>
              <w:rPr>
                <w:rFonts w:hint="eastAsia" w:ascii="Arial" w:hAnsi="Arial" w:cs="Arial"/>
                <w:i w:val="0"/>
                <w:color w:val="000000" w:themeColor="text1"/>
                <w:kern w:val="0"/>
                <w:sz w:val="20"/>
                <w:szCs w:val="20"/>
                <w:highlight w:val="none"/>
                <w:u w:val="none"/>
                <w:lang w:val="en-US" w:eastAsia="zh-CN" w:bidi="ar"/>
                <w14:textFill>
                  <w14:solidFill>
                    <w14:schemeClr w14:val="tx1"/>
                  </w14:solidFill>
                </w14:textFill>
              </w:rPr>
              <w:t>1</w:t>
            </w:r>
            <w:r>
              <w:rPr>
                <w:rFonts w:hint="default" w:ascii="Arial" w:hAnsi="Arial" w:eastAsia="宋体" w:cs="Arial"/>
                <w:i w:val="0"/>
                <w:color w:val="000000" w:themeColor="text1"/>
                <w:kern w:val="0"/>
                <w:sz w:val="20"/>
                <w:szCs w:val="20"/>
                <w:highlight w:val="none"/>
                <w:u w:val="none"/>
                <w:lang w:val="en-US" w:eastAsia="zh-CN" w:bidi="ar"/>
                <w14:textFill>
                  <w14:solidFill>
                    <w14:schemeClr w14:val="tx1"/>
                  </w14:solidFill>
                </w14:textFill>
              </w:rPr>
              <w:t xml:space="preserve">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1133.72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1133.72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879.09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879.09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6.25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182.84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121.95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38144.10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38144.10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2130148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成品油价格改革对渔业的补贴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38129.10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38129.10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2578.00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2578.00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2130306</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水利执法监督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2130310</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水土保持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1254.00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667.00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水利建设移民支出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27593.00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27593.00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农村人畜饮水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364.00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4947.10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4947.10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240"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tbl>
      <w:tblPr>
        <w:tblStyle w:val="5"/>
        <w:tblW w:w="13988" w:type="dxa"/>
        <w:tblInd w:w="0" w:type="dxa"/>
        <w:shd w:val="clear" w:color="auto" w:fill="auto"/>
        <w:tblLayout w:type="autofit"/>
        <w:tblCellMar>
          <w:top w:w="0" w:type="dxa"/>
          <w:left w:w="0" w:type="dxa"/>
          <w:bottom w:w="0" w:type="dxa"/>
          <w:right w:w="0" w:type="dxa"/>
        </w:tblCellMar>
      </w:tblPr>
      <w:tblGrid>
        <w:gridCol w:w="1830"/>
        <w:gridCol w:w="36"/>
        <w:gridCol w:w="36"/>
        <w:gridCol w:w="5530"/>
        <w:gridCol w:w="1263"/>
        <w:gridCol w:w="1205"/>
        <w:gridCol w:w="1062"/>
        <w:gridCol w:w="798"/>
        <w:gridCol w:w="798"/>
        <w:gridCol w:w="1430"/>
      </w:tblGrid>
      <w:tr>
        <w:tblPrEx>
          <w:shd w:val="clear" w:color="auto" w:fill="auto"/>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bottom"/>
          </w:tcPr>
          <w:p>
            <w:pPr>
              <w:ind w:firstLine="6900" w:firstLineChars="23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部门：濮阳县水利局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0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6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63"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205"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62"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798"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798"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430"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902"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6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02"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902"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3"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5"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8"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63" w:type="dxa"/>
            <w:tcBorders>
              <w:top w:val="nil"/>
              <w:left w:val="nil"/>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05" w:type="dxa"/>
            <w:tcBorders>
              <w:top w:val="nil"/>
              <w:left w:val="nil"/>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2" w:type="dxa"/>
            <w:tcBorders>
              <w:top w:val="nil"/>
              <w:left w:val="nil"/>
              <w:bottom w:val="nil"/>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98"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98"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30" w:type="dxa"/>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39527.5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120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6098.5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106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33429.00 </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1133.72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885.72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879.09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879.09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6.25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6.25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690.00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182.84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182.84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248.00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121.95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121.95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38144.10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5088.10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33056.00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2130148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成品油价格改革对渔业的补贴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38129.10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5088.10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33041.00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2578.00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2578.00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2130306</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水利执法监督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2130310</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水土保持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1254.00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1254.00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667.00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667.00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水利建设移民支出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27593.00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27593.00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农村人畜饮水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364.00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364.00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4947.10 </w:t>
            </w:r>
          </w:p>
        </w:tc>
        <w:tc>
          <w:tcPr>
            <w:tcW w:w="12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4947.10 </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widowControl w:val="0"/>
        <w:numPr>
          <w:ilvl w:val="0"/>
          <w:numId w:val="0"/>
        </w:numPr>
        <w:jc w:val="center"/>
        <w:outlineLvl w:val="0"/>
        <w:rPr>
          <w:rFonts w:hint="eastAsia" w:ascii="黑体" w:hAnsi="黑体" w:eastAsia="黑体" w:cs="黑体"/>
          <w:color w:val="auto"/>
          <w:sz w:val="48"/>
          <w:szCs w:val="48"/>
          <w:highlight w:val="none"/>
        </w:rPr>
      </w:pPr>
    </w:p>
    <w:tbl>
      <w:tblPr>
        <w:tblStyle w:val="5"/>
        <w:tblW w:w="14790" w:type="dxa"/>
        <w:tblInd w:w="0" w:type="dxa"/>
        <w:shd w:val="clear" w:color="auto" w:fill="auto"/>
        <w:tblLayout w:type="autofit"/>
        <w:tblCellMar>
          <w:top w:w="0" w:type="dxa"/>
          <w:left w:w="0" w:type="dxa"/>
          <w:bottom w:w="0" w:type="dxa"/>
          <w:right w:w="0" w:type="dxa"/>
        </w:tblCellMar>
      </w:tblPr>
      <w:tblGrid>
        <w:gridCol w:w="3270"/>
        <w:gridCol w:w="570"/>
        <w:gridCol w:w="1680"/>
        <w:gridCol w:w="3660"/>
        <w:gridCol w:w="570"/>
        <w:gridCol w:w="1680"/>
        <w:gridCol w:w="1680"/>
        <w:gridCol w:w="1680"/>
      </w:tblGrid>
      <w:tr>
        <w:tblPrEx>
          <w:shd w:val="clear" w:color="auto" w:fill="auto"/>
          <w:tblCellMar>
            <w:top w:w="0" w:type="dxa"/>
            <w:left w:w="0" w:type="dxa"/>
            <w:bottom w:w="0" w:type="dxa"/>
            <w:right w:w="0" w:type="dxa"/>
          </w:tblCellMar>
        </w:tblPrEx>
        <w:trPr>
          <w:trHeight w:val="390" w:hRule="atLeast"/>
        </w:trPr>
        <w:tc>
          <w:tcPr>
            <w:tcW w:w="3270"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66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7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部门：濮阳县水利局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nil"/>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nil"/>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39154.5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373.00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1133.72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885.72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38144.1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38144.10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39527.5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39527.5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39154.5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39527.5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39527.5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39154.5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tbl>
      <w:tblPr>
        <w:tblStyle w:val="5"/>
        <w:tblW w:w="13170" w:type="dxa"/>
        <w:tblInd w:w="0" w:type="dxa"/>
        <w:shd w:val="clear" w:color="auto" w:fill="auto"/>
        <w:tblLayout w:type="autofit"/>
        <w:tblCellMar>
          <w:top w:w="0" w:type="dxa"/>
          <w:left w:w="0" w:type="dxa"/>
          <w:bottom w:w="0" w:type="dxa"/>
          <w:right w:w="0" w:type="dxa"/>
        </w:tblCellMar>
      </w:tblPr>
      <w:tblGrid>
        <w:gridCol w:w="2280"/>
        <w:gridCol w:w="45"/>
        <w:gridCol w:w="45"/>
        <w:gridCol w:w="4696"/>
        <w:gridCol w:w="1941"/>
        <w:gridCol w:w="1871"/>
        <w:gridCol w:w="2292"/>
      </w:tblGrid>
      <w:tr>
        <w:tblPrEx>
          <w:shd w:val="clear" w:color="auto" w:fill="auto"/>
          <w:tblCellMar>
            <w:top w:w="0" w:type="dxa"/>
            <w:left w:w="0" w:type="dxa"/>
            <w:bottom w:w="0" w:type="dxa"/>
            <w:right w:w="0" w:type="dxa"/>
          </w:tblCellMar>
        </w:tblPrEx>
        <w:trPr>
          <w:trHeight w:val="390" w:hRule="atLeast"/>
        </w:trPr>
        <w:tc>
          <w:tcPr>
            <w:tcW w:w="13170" w:type="dxa"/>
            <w:gridSpan w:val="7"/>
            <w:tcBorders>
              <w:top w:val="nil"/>
              <w:left w:val="nil"/>
              <w:bottom w:val="nil"/>
              <w:right w:val="nil"/>
            </w:tcBorders>
            <w:shd w:val="clear" w:color="auto" w:fill="auto"/>
            <w:noWrap/>
            <w:tcMar>
              <w:top w:w="15" w:type="dxa"/>
              <w:left w:w="15" w:type="dxa"/>
              <w:right w:w="15" w:type="dxa"/>
            </w:tcMar>
            <w:vAlign w:val="bottom"/>
          </w:tcPr>
          <w:p>
            <w:pPr>
              <w:ind w:firstLine="4800" w:firstLineChars="16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部门：濮阳县水利局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490"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24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490"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39154.5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6098.5</w:t>
            </w:r>
            <w:r>
              <w:rPr>
                <w:rFonts w:hint="eastAsia" w:ascii="Arial" w:hAnsi="Arial" w:cs="Arial"/>
                <w:i w:val="0"/>
                <w:color w:val="000000"/>
                <w:kern w:val="0"/>
                <w:sz w:val="20"/>
                <w:szCs w:val="20"/>
                <w:u w:val="none"/>
                <w:lang w:val="en-US" w:eastAsia="zh-CN" w:bidi="ar"/>
              </w:rPr>
              <w:t>1</w:t>
            </w:r>
            <w:r>
              <w:rPr>
                <w:rFonts w:hint="default" w:ascii="Arial" w:hAnsi="Arial" w:eastAsia="宋体" w:cs="Arial"/>
                <w:i w:val="0"/>
                <w:color w:val="000000"/>
                <w:kern w:val="0"/>
                <w:sz w:val="20"/>
                <w:szCs w:val="20"/>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33056.00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885.72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885.72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879.09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879.09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2080502</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690.00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182.84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182.84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6.63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121.95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38144.10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5088.10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33056.00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2130148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成品油价格改革对渔业的补贴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38129.10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5088.10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33041.00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2578.00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2578.00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2130306</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水利工程运行与维护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306.00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2130309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水利执法监督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2130310</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水土保持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101.00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水资源节约管理与保护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防汛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1254.00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2130316</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农田水利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667.00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2130321</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大中型水库移民后期扶持专项支出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146.00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水利建设移民支出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27593.00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27593.00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2130335</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农村人畜饮水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364.00 </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2130399</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其他水利支出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4947.10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4947.10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tbl>
      <w:tblPr>
        <w:tblStyle w:val="5"/>
        <w:tblW w:w="14466" w:type="dxa"/>
        <w:tblInd w:w="0" w:type="dxa"/>
        <w:shd w:val="clear" w:color="auto" w:fill="auto"/>
        <w:tblLayout w:type="fixed"/>
        <w:tblCellMar>
          <w:top w:w="0" w:type="dxa"/>
          <w:left w:w="0" w:type="dxa"/>
          <w:bottom w:w="0" w:type="dxa"/>
          <w:right w:w="0" w:type="dxa"/>
        </w:tblCellMar>
      </w:tblPr>
      <w:tblGrid>
        <w:gridCol w:w="741"/>
        <w:gridCol w:w="3432"/>
        <w:gridCol w:w="956"/>
        <w:gridCol w:w="825"/>
        <w:gridCol w:w="2344"/>
        <w:gridCol w:w="618"/>
        <w:gridCol w:w="163"/>
        <w:gridCol w:w="437"/>
        <w:gridCol w:w="4219"/>
        <w:gridCol w:w="731"/>
      </w:tblGrid>
      <w:tr>
        <w:tblPrEx>
          <w:shd w:val="clear" w:color="auto" w:fill="auto"/>
          <w:tblCellMar>
            <w:top w:w="0" w:type="dxa"/>
            <w:left w:w="0" w:type="dxa"/>
            <w:bottom w:w="0" w:type="dxa"/>
            <w:right w:w="0" w:type="dxa"/>
          </w:tblCellMar>
        </w:tblPrEx>
        <w:trPr>
          <w:trHeight w:val="390" w:hRule="atLeast"/>
        </w:trPr>
        <w:tc>
          <w:tcPr>
            <w:tcW w:w="14466" w:type="dxa"/>
            <w:gridSpan w:val="10"/>
            <w:tcBorders>
              <w:top w:val="nil"/>
              <w:left w:val="nil"/>
              <w:bottom w:val="nil"/>
              <w:right w:val="nil"/>
            </w:tcBorders>
            <w:shd w:val="clear" w:color="auto" w:fill="auto"/>
            <w:noWrap/>
            <w:tcMar>
              <w:top w:w="15" w:type="dxa"/>
              <w:left w:w="15" w:type="dxa"/>
              <w:right w:w="15" w:type="dxa"/>
            </w:tcMar>
            <w:vAlign w:val="bottom"/>
          </w:tcPr>
          <w:p>
            <w:pPr>
              <w:ind w:firstLine="4200" w:firstLineChars="14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74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343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781"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37"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95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74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部门：濮阳县水利局</w:t>
            </w:r>
          </w:p>
        </w:tc>
        <w:tc>
          <w:tcPr>
            <w:tcW w:w="3432"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5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234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18"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600"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950"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12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37" w:type="dxa"/>
            <w:gridSpan w:val="7"/>
            <w:tcBorders>
              <w:top w:val="single" w:color="000000"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41" w:type="dxa"/>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32"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56"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25"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44"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18"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00" w:type="dxa"/>
            <w:gridSpan w:val="2"/>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21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41" w:type="dxa"/>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3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6"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25"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44"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8"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gridSpan w:val="2"/>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5570.96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3023.00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735.41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135.36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0.55</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1055.00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86.70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197.30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124.69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59.7</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213.50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358.55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6.25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13.26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298.53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4.60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29.39</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35.91 </w:t>
            </w: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12.09</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41"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32"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rPr>
                <w:rFonts w:hint="default" w:ascii="Arial" w:hAnsi="Arial" w:cs="Arial"/>
                <w:i w:val="0"/>
                <w:color w:val="000000"/>
                <w:sz w:val="20"/>
                <w:szCs w:val="20"/>
                <w:u w:val="none"/>
              </w:rPr>
            </w:pPr>
          </w:p>
        </w:tc>
        <w:tc>
          <w:tcPr>
            <w:tcW w:w="825"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44" w:type="dxa"/>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61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600" w:type="dxa"/>
            <w:gridSpan w:val="2"/>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21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173" w:type="dxa"/>
            <w:gridSpan w:val="2"/>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956"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5929.52 </w:t>
            </w:r>
          </w:p>
        </w:tc>
        <w:tc>
          <w:tcPr>
            <w:tcW w:w="8606" w:type="dxa"/>
            <w:gridSpan w:val="6"/>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169.00</w:t>
            </w:r>
          </w:p>
        </w:tc>
      </w:tr>
      <w:tr>
        <w:tblPrEx>
          <w:tblCellMar>
            <w:top w:w="0" w:type="dxa"/>
            <w:left w:w="0" w:type="dxa"/>
            <w:bottom w:w="0" w:type="dxa"/>
            <w:right w:w="0" w:type="dxa"/>
          </w:tblCellMar>
        </w:tblPrEx>
        <w:trPr>
          <w:trHeight w:val="308" w:hRule="atLeast"/>
        </w:trPr>
        <w:tc>
          <w:tcPr>
            <w:tcW w:w="14466"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tbl>
      <w:tblPr>
        <w:tblStyle w:val="5"/>
        <w:tblW w:w="11865" w:type="dxa"/>
        <w:jc w:val="center"/>
        <w:shd w:val="clear" w:color="auto" w:fill="auto"/>
        <w:tblLayout w:type="autofit"/>
        <w:tblCellMar>
          <w:top w:w="0" w:type="dxa"/>
          <w:left w:w="0" w:type="dxa"/>
          <w:bottom w:w="0" w:type="dxa"/>
          <w:right w:w="0" w:type="dxa"/>
        </w:tblCellMar>
      </w:tblPr>
      <w:tblGrid>
        <w:gridCol w:w="1830"/>
        <w:gridCol w:w="705"/>
        <w:gridCol w:w="570"/>
        <w:gridCol w:w="1080"/>
        <w:gridCol w:w="675"/>
        <w:gridCol w:w="910"/>
        <w:gridCol w:w="690"/>
        <w:gridCol w:w="900"/>
        <w:gridCol w:w="1020"/>
        <w:gridCol w:w="960"/>
        <w:gridCol w:w="1095"/>
        <w:gridCol w:w="1430"/>
      </w:tblGrid>
      <w:tr>
        <w:tblPrEx>
          <w:shd w:val="clear" w:color="auto" w:fill="auto"/>
          <w:tblCellMar>
            <w:top w:w="0" w:type="dxa"/>
            <w:left w:w="0" w:type="dxa"/>
            <w:bottom w:w="0" w:type="dxa"/>
            <w:right w:w="0" w:type="dxa"/>
          </w:tblCellMar>
        </w:tblPrEx>
        <w:trPr>
          <w:trHeight w:val="540" w:hRule="atLeast"/>
          <w:jc w:val="center"/>
        </w:trPr>
        <w:tc>
          <w:tcPr>
            <w:tcW w:w="11865" w:type="dxa"/>
            <w:gridSpan w:val="1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部门：濮阳县水利局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770" w:type="dxa"/>
            <w:gridSpan w:val="6"/>
            <w:tcBorders>
              <w:top w:val="single" w:color="000000" w:sz="4" w:space="0"/>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095" w:type="dxa"/>
            <w:gridSpan w:val="6"/>
            <w:tcBorders>
              <w:top w:val="single" w:color="000000" w:sz="4" w:space="0"/>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1830" w:type="dxa"/>
            <w:vMerge w:val="restart"/>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05"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325" w:type="dxa"/>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1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69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0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075" w:type="dxa"/>
            <w:gridSpan w:val="3"/>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jc w:val="center"/>
        </w:trPr>
        <w:tc>
          <w:tcPr>
            <w:tcW w:w="1830" w:type="dxa"/>
            <w:vMerge w:val="continue"/>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8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67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1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6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9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830" w:type="dxa"/>
            <w:tcBorders>
              <w:top w:val="nil"/>
              <w:left w:val="single" w:color="000000" w:sz="4" w:space="0"/>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0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7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7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9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2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6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95"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nil"/>
              <w:left w:val="nil"/>
              <w:bottom w:val="single" w:color="000000" w:sz="4" w:space="0"/>
              <w:right w:val="single" w:color="000000" w:sz="4" w:space="0"/>
            </w:tcBorders>
            <w:shd w:val="clear" w:color="FFFFFF"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jc w:val="center"/>
        </w:trPr>
        <w:tc>
          <w:tcPr>
            <w:tcW w:w="1830" w:type="dxa"/>
            <w:tcBorders>
              <w:top w:val="nil"/>
              <w:left w:val="single" w:color="000000" w:sz="4" w:space="0"/>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3.30</w:t>
            </w:r>
          </w:p>
        </w:tc>
        <w:tc>
          <w:tcPr>
            <w:tcW w:w="705" w:type="dxa"/>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570" w:type="dxa"/>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0</w:t>
            </w:r>
          </w:p>
        </w:tc>
        <w:tc>
          <w:tcPr>
            <w:tcW w:w="1080" w:type="dxa"/>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675" w:type="dxa"/>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3.30</w:t>
            </w:r>
          </w:p>
        </w:tc>
        <w:tc>
          <w:tcPr>
            <w:tcW w:w="910" w:type="dxa"/>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0" w:type="auto"/>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0</w:t>
            </w:r>
          </w:p>
        </w:tc>
        <w:tc>
          <w:tcPr>
            <w:tcW w:w="0" w:type="auto"/>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0" w:type="auto"/>
            <w:tcBorders>
              <w:top w:val="nil"/>
              <w:left w:val="nil"/>
              <w:bottom w:val="single" w:color="000000" w:sz="4" w:space="0"/>
              <w:right w:val="single" w:color="000000" w:sz="4" w:space="0"/>
            </w:tcBorders>
            <w:shd w:val="clear" w:color="FFFFFF"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jc w:val="center"/>
        </w:trPr>
        <w:tc>
          <w:tcPr>
            <w:tcW w:w="1186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CellMar>
            <w:top w:w="0" w:type="dxa"/>
            <w:left w:w="0" w:type="dxa"/>
            <w:bottom w:w="0" w:type="dxa"/>
            <w:right w:w="0" w:type="dxa"/>
          </w:tblCellMar>
        </w:tblPrEx>
        <w:trPr>
          <w:trHeight w:val="615" w:hRule="atLeast"/>
          <w:jc w:val="center"/>
        </w:trPr>
        <w:tc>
          <w:tcPr>
            <w:tcW w:w="1186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tbl>
      <w:tblPr>
        <w:tblStyle w:val="5"/>
        <w:tblW w:w="13988" w:type="dxa"/>
        <w:tblInd w:w="0" w:type="dxa"/>
        <w:shd w:val="clear" w:color="auto" w:fill="auto"/>
        <w:tblLayout w:type="autofit"/>
        <w:tblCellMar>
          <w:top w:w="0" w:type="dxa"/>
          <w:left w:w="0" w:type="dxa"/>
          <w:bottom w:w="0" w:type="dxa"/>
          <w:right w:w="0" w:type="dxa"/>
        </w:tblCellMar>
      </w:tblPr>
      <w:tblGrid>
        <w:gridCol w:w="1830"/>
        <w:gridCol w:w="36"/>
        <w:gridCol w:w="36"/>
        <w:gridCol w:w="5530"/>
        <w:gridCol w:w="712"/>
        <w:gridCol w:w="797"/>
        <w:gridCol w:w="1209"/>
        <w:gridCol w:w="911"/>
        <w:gridCol w:w="1497"/>
        <w:gridCol w:w="1430"/>
      </w:tblGrid>
      <w:tr>
        <w:tblPrEx>
          <w:shd w:val="clear" w:color="auto" w:fill="auto"/>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bottom"/>
          </w:tcPr>
          <w:p>
            <w:pPr>
              <w:ind w:firstLine="4500" w:firstLineChars="15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部门：濮阳县水利局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12"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97"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712" w:type="dxa"/>
            <w:gridSpan w:val="3"/>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67" w:type="dxa"/>
            <w:vMerge w:val="restart"/>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2362" w:type="dxa"/>
            <w:gridSpan w:val="3"/>
            <w:vMerge w:val="restart"/>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1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9"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11"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92" w:type="dxa"/>
            <w:vMerge w:val="restart"/>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6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62"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62" w:type="dxa"/>
            <w:gridSpan w:val="3"/>
            <w:vMerge w:val="continue"/>
            <w:tcBorders>
              <w:top w:val="nil"/>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2"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9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1"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2" w:type="dxa"/>
            <w:vMerge w:val="continue"/>
            <w:tcBorders>
              <w:top w:val="nil"/>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nil"/>
              <w:bottom w:val="single" w:color="000000" w:sz="4" w:space="0"/>
              <w:right w:val="single" w:color="000000"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nil"/>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nil"/>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大中型水库移民后期扶持基金支出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2082202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基础设施建设和经济发展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国有土地使用权出让收入及对应专项债务收入安排的支出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2120804</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val="0"/>
        <w:numPr>
          <w:ilvl w:val="0"/>
          <w:numId w:val="0"/>
        </w:numPr>
        <w:jc w:val="both"/>
        <w:outlineLvl w:val="0"/>
        <w:rPr>
          <w:rFonts w:hint="eastAsia" w:ascii="黑体" w:hAnsi="黑体" w:eastAsia="黑体" w:cs="黑体"/>
          <w:color w:val="auto"/>
          <w:sz w:val="48"/>
          <w:szCs w:val="48"/>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val="0"/>
        <w:numPr>
          <w:ilvl w:val="0"/>
          <w:numId w:val="0"/>
        </w:numPr>
        <w:jc w:val="center"/>
        <w:outlineLvl w:val="0"/>
        <w:rPr>
          <w:rFonts w:hint="eastAsia" w:ascii="黑体" w:hAnsi="黑体" w:eastAsia="黑体" w:cs="黑体"/>
          <w:color w:val="auto"/>
          <w:sz w:val="48"/>
          <w:szCs w:val="48"/>
          <w:highlight w:val="none"/>
          <w:lang w:eastAsia="zh-CN"/>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numPr>
          <w:ilvl w:val="0"/>
          <w:numId w:val="3"/>
        </w:numPr>
        <w:ind w:left="0" w:leftChars="0" w:firstLine="0" w:firstLineChars="0"/>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both"/>
        <w:outlineLvl w:val="0"/>
        <w:rPr>
          <w:rFonts w:hint="eastAsia" w:ascii="黑体" w:hAnsi="黑体" w:eastAsia="黑体" w:cs="黑体"/>
          <w:color w:val="auto"/>
          <w:sz w:val="48"/>
          <w:szCs w:val="48"/>
          <w:highlight w:val="none"/>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2019年度收、支总计均为39527.51万元。与上年度相比，收、支总计各增加</w:t>
      </w:r>
      <w:r>
        <w:rPr>
          <w:rFonts w:hint="eastAsia" w:ascii="仿宋_GB2312" w:hAnsi="仿宋_GB2312" w:eastAsia="仿宋_GB2312" w:cs="仿宋_GB2312"/>
          <w:sz w:val="32"/>
          <w:szCs w:val="32"/>
          <w:lang w:val="en-US" w:eastAsia="zh-CN"/>
        </w:rPr>
        <w:t>1489.86</w:t>
      </w:r>
      <w:r>
        <w:rPr>
          <w:rFonts w:hint="eastAsia" w:ascii="仿宋_GB2312" w:hAnsi="仿宋_GB2312" w:eastAsia="仿宋_GB2312" w:cs="仿宋_GB2312"/>
          <w:color w:val="auto"/>
          <w:sz w:val="32"/>
          <w:szCs w:val="32"/>
          <w:highlight w:val="none"/>
          <w:lang w:val="en-US" w:eastAsia="zh-CN"/>
        </w:rPr>
        <w:t>万元，增长3.9%。主要原因是人员工资增长及社会保障费用增加。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2019年度收入合计39527.51万元，其中：财政拨款收入39527.51万元，占100%。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2019年度支出合计39527.51万元，其中：基本支出6098.51万元，占15.4%；项目支出33429万元，占84.6%。</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2019年度财政拨款收、支总计均为39527.51万元。与上年度相比，财政拨款收、支总计各增加</w:t>
      </w:r>
      <w:r>
        <w:rPr>
          <w:rFonts w:hint="eastAsia" w:ascii="仿宋_GB2312" w:hAnsi="仿宋_GB2312" w:eastAsia="仿宋_GB2312" w:cs="仿宋_GB2312"/>
          <w:sz w:val="32"/>
          <w:szCs w:val="32"/>
          <w:lang w:val="en-US" w:eastAsia="zh-CN"/>
        </w:rPr>
        <w:t>1489.86</w:t>
      </w:r>
      <w:r>
        <w:rPr>
          <w:rFonts w:hint="eastAsia" w:ascii="仿宋_GB2312" w:hAnsi="仿宋_GB2312" w:eastAsia="仿宋_GB2312" w:cs="仿宋_GB2312"/>
          <w:color w:val="auto"/>
          <w:sz w:val="32"/>
          <w:szCs w:val="32"/>
          <w:highlight w:val="none"/>
          <w:lang w:val="en-US" w:eastAsia="zh-CN"/>
        </w:rPr>
        <w:t>万元，增长3.9%。主要原因是人员工资增长及社会保障费用增加。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2019年度一般公共预算财政拨款支出39154.51万元，占本年支出合计的100%。与上年度相比，一般公共预算财政拨款支出增加1116.86万元，增长2.9%。主要原因是水利建设移民支出及人员工资、社保费用增加。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2019年度一般公共预算财政拨款支出39154.51万元，主要用于以下方面：社会保障和就业（类）支出885.7万元，占2.26%；医疗卫生与计划生育（类）124.69万元，占0.31%；农林水（类）支出38144.1万元，占97.43%。</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2019年度一般公共预算财政拨款支出年初预算为38037.65万元，支出决算为38037.65万元，完成年初预算的100%。其中：</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社会保障和就业支出（类）行政事业单位离退休（款）事业单位离退休（项）。</w:t>
      </w:r>
      <w:r>
        <w:rPr>
          <w:rFonts w:hint="eastAsia" w:ascii="仿宋_GB2312" w:hAnsi="仿宋_GB2312" w:eastAsia="仿宋_GB2312" w:cs="仿宋_GB2312"/>
          <w:color w:val="auto"/>
          <w:sz w:val="32"/>
          <w:szCs w:val="32"/>
          <w:highlight w:val="none"/>
          <w:lang w:val="en-US" w:eastAsia="zh-CN"/>
        </w:rPr>
        <w:t>年初预算为6.25万元，支出决算为6.25万元，完成年初预算的100%。</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社会保障和就业支出（类）行政事业单位离退休（款）机关事业单位基本养老保险费支出（项）。</w:t>
      </w:r>
      <w:r>
        <w:rPr>
          <w:rFonts w:hint="eastAsia" w:ascii="仿宋_GB2312" w:hAnsi="仿宋_GB2312" w:eastAsia="仿宋_GB2312" w:cs="仿宋_GB2312"/>
          <w:color w:val="auto"/>
          <w:sz w:val="32"/>
          <w:szCs w:val="32"/>
          <w:highlight w:val="none"/>
          <w:lang w:val="en-US" w:eastAsia="zh-CN"/>
        </w:rPr>
        <w:t>年初预算为690万元，支出决算为690万元，完成年初预算的100%。</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社会保障和就业支出（类）行政事业单位离退休（款）其他行政事业单位离退休支出（项）。</w:t>
      </w:r>
      <w:r>
        <w:rPr>
          <w:rFonts w:hint="eastAsia" w:ascii="仿宋_GB2312" w:hAnsi="仿宋_GB2312" w:eastAsia="仿宋_GB2312" w:cs="仿宋_GB2312"/>
          <w:color w:val="auto"/>
          <w:sz w:val="32"/>
          <w:szCs w:val="32"/>
          <w:highlight w:val="none"/>
          <w:lang w:val="en-US" w:eastAsia="zh-CN"/>
        </w:rPr>
        <w:t>年初预算为182.83万元，支出决算为182.83万元，完成年初预算的100%。</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color w:val="auto"/>
          <w:sz w:val="32"/>
          <w:szCs w:val="32"/>
          <w:highlight w:val="none"/>
          <w:lang w:val="en-US" w:eastAsia="zh-CN"/>
        </w:rPr>
        <w:t>年初预算为6.63万元，支出决算为6.63万元，完成年初预算的100%。</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年初预算为2.74万元，支出决算为2.74万元，完成年初预算的100%。</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年初预算为121.94万元，支出决算为121.94万元，完成年初预算的100%。</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农林水支出（类）农业（款）成品油价格改革对渔业的补贴（项）。</w:t>
      </w:r>
      <w:r>
        <w:rPr>
          <w:rFonts w:hint="eastAsia" w:ascii="仿宋_GB2312" w:hAnsi="仿宋_GB2312" w:eastAsia="仿宋_GB2312" w:cs="仿宋_GB2312"/>
          <w:color w:val="auto"/>
          <w:sz w:val="32"/>
          <w:szCs w:val="32"/>
          <w:highlight w:val="none"/>
          <w:lang w:val="en-US" w:eastAsia="zh-CN"/>
        </w:rPr>
        <w:t>年初预算为15万元，支出决算为15万元，完成年初预算的100%。</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农林水支出（类）水利（款）行政运行（项）。</w:t>
      </w:r>
      <w:r>
        <w:rPr>
          <w:rFonts w:hint="eastAsia" w:ascii="仿宋_GB2312" w:hAnsi="仿宋_GB2312" w:eastAsia="仿宋_GB2312" w:cs="仿宋_GB2312"/>
          <w:color w:val="auto"/>
          <w:sz w:val="32"/>
          <w:szCs w:val="32"/>
          <w:highlight w:val="none"/>
          <w:lang w:val="en-US" w:eastAsia="zh-CN"/>
        </w:rPr>
        <w:t>年初预算为141万元，支出决算为141万元，完成年初预算的100%。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9、农林水支出（类）水利（款）水利工程建设（项）。</w:t>
      </w:r>
      <w:r>
        <w:rPr>
          <w:rFonts w:hint="eastAsia" w:ascii="仿宋_GB2312" w:hAnsi="仿宋_GB2312" w:eastAsia="仿宋_GB2312" w:cs="仿宋_GB2312"/>
          <w:color w:val="auto"/>
          <w:sz w:val="32"/>
          <w:szCs w:val="32"/>
          <w:highlight w:val="none"/>
          <w:lang w:val="en-US" w:eastAsia="zh-CN"/>
        </w:rPr>
        <w:t>年初预算为2578万元，支出决算为2578万元，完成年初预算的100%。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10、农林水支出（类）水利（款）水利工程运行与维护（项）。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年初预算为306万元，支出决算为306万元，完成年初预算的100%。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Chars="200" w:right="0" w:rightChars="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农林水支出（类）水利（款）水利执法监督（项）。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年初预算为2万元，支出决算为2万元，完成年初预算的100%。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420" w:leftChars="20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农林水支出（类）水利（款）水土保持（项）。</w:t>
      </w:r>
      <w:r>
        <w:rPr>
          <w:rFonts w:hint="eastAsia" w:ascii="仿宋_GB2312" w:hAnsi="仿宋_GB2312" w:eastAsia="仿宋_GB2312" w:cs="仿宋_GB2312"/>
          <w:color w:val="auto"/>
          <w:sz w:val="32"/>
          <w:szCs w:val="32"/>
          <w:highlight w:val="none"/>
          <w:lang w:val="en-US" w:eastAsia="zh-CN"/>
        </w:rPr>
        <w:t>年初</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预算为101万元，支出决算为101万元，完成年初预算的100%。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420" w:leftChars="200" w:right="0" w:rightChars="0" w:firstLine="0" w:firstLineChars="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农林水支出（类）水利（款）水资源节约管理与保护</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（项）。</w:t>
      </w:r>
      <w:r>
        <w:rPr>
          <w:rFonts w:hint="eastAsia" w:ascii="仿宋_GB2312" w:hAnsi="仿宋_GB2312" w:eastAsia="仿宋_GB2312" w:cs="仿宋_GB2312"/>
          <w:color w:val="auto"/>
          <w:sz w:val="32"/>
          <w:szCs w:val="32"/>
          <w:highlight w:val="none"/>
          <w:lang w:val="en-US" w:eastAsia="zh-CN"/>
        </w:rPr>
        <w:t>年初预算为30万元，支出决算30为万元，完成年初预算的100%。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420" w:leftChars="20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农林水支出（类）水利（款）防汛（项）。</w:t>
      </w:r>
      <w:r>
        <w:rPr>
          <w:rFonts w:hint="eastAsia" w:ascii="仿宋_GB2312" w:hAnsi="仿宋_GB2312" w:eastAsia="仿宋_GB2312" w:cs="仿宋_GB2312"/>
          <w:color w:val="auto"/>
          <w:sz w:val="32"/>
          <w:szCs w:val="32"/>
          <w:highlight w:val="none"/>
          <w:lang w:val="en-US" w:eastAsia="zh-CN"/>
        </w:rPr>
        <w:t>年初预算</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为1254万元，支出决算为1254万元，完成年初预算的100%。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420" w:leftChars="20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农林水支出（类）水利（款）农田水利（项）。</w:t>
      </w:r>
      <w:r>
        <w:rPr>
          <w:rFonts w:hint="eastAsia" w:ascii="仿宋_GB2312" w:hAnsi="仿宋_GB2312" w:eastAsia="仿宋_GB2312" w:cs="仿宋_GB2312"/>
          <w:color w:val="auto"/>
          <w:sz w:val="32"/>
          <w:szCs w:val="32"/>
          <w:highlight w:val="none"/>
          <w:lang w:val="en-US" w:eastAsia="zh-CN"/>
        </w:rPr>
        <w:t>年初</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预算为667万元，支出决算为667万元，完成年初预算的100%。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420" w:leftChars="200" w:right="0" w:rightChars="0" w:firstLine="0" w:firstLineChars="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农林水支出（类）水利（款）水利建设移民支出（项）。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年初预算为27593万元，支出决算为27593万元，完成年初预算的100%。</w:t>
      </w:r>
    </w:p>
    <w:p>
      <w:pPr>
        <w:keepNext w:val="0"/>
        <w:keepLines w:val="0"/>
        <w:pageBreakBefore w:val="0"/>
        <w:widowControl/>
        <w:numPr>
          <w:ilvl w:val="0"/>
          <w:numId w:val="5"/>
        </w:numPr>
        <w:kinsoku/>
        <w:wordWrap/>
        <w:overflowPunct/>
        <w:topLinePunct w:val="0"/>
        <w:autoSpaceDE/>
        <w:autoSpaceDN/>
        <w:bidi w:val="0"/>
        <w:adjustRightInd/>
        <w:snapToGrid/>
        <w:spacing w:line="590" w:lineRule="exact"/>
        <w:ind w:left="420" w:leftChars="200" w:right="0" w:rightChars="0" w:firstLine="0" w:firstLineChars="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农林水支出（类）水利（款）农村人畜饮水（项）。</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年初预算为364万元，支出决算为364万元，完成年初预算的100%。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18、农林水支出（类）水利（款）其他水利支出（项）。</w:t>
      </w:r>
      <w:r>
        <w:rPr>
          <w:rFonts w:hint="eastAsia" w:ascii="仿宋_GB2312" w:hAnsi="仿宋_GB2312" w:eastAsia="仿宋_GB2312" w:cs="仿宋_GB2312"/>
          <w:color w:val="auto"/>
          <w:sz w:val="32"/>
          <w:szCs w:val="32"/>
          <w:highlight w:val="none"/>
          <w:lang w:val="en-US" w:eastAsia="zh-CN"/>
        </w:rPr>
        <w:t>年初预算为4947.1万元，支出决算为4947.1万元，完成年初预算的100%。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2019年度一般公共预算财政拨款基本支出6098.52万元。</w:t>
      </w:r>
      <w:r>
        <w:rPr>
          <w:rFonts w:hint="eastAsia" w:ascii="仿宋_GB2312" w:hAnsi="仿宋_GB2312" w:eastAsia="仿宋_GB2312" w:cs="仿宋_GB2312"/>
          <w:sz w:val="32"/>
          <w:szCs w:val="32"/>
        </w:rPr>
        <w:t>与上年度相比，一般公共预算财政拨款基本支出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1411.87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30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主要原因是人员工资增长及社会保障费用增加。其中：人员经费5929.52万元，主要包括：基本工资、津贴补贴、绩效工资、机关事业单位基本养老保险缴费、职业年金缴费、职工基本医疗保险缴费、其他社会保障缴费、住房公积金、离休费、抚恤金、生活补助、医疗费补助、其他对个人和家庭的补助支出；公用经费169万元，主要包括：办公费、印刷费、水费、电费、邮电费、物业管理费、差旅费、维修（护）费、培训费、工会经费、公务用车运行维护费、其他交通费用、其他商品和服务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pStyle w:val="2"/>
        <w:keepNext w:val="0"/>
        <w:keepLines w:val="0"/>
        <w:pageBreakBefore w:val="0"/>
        <w:shd w:val="clear"/>
        <w:kinsoku/>
        <w:wordWrap/>
        <w:overflowPunct/>
        <w:topLinePunct w:val="0"/>
        <w:autoSpaceDE/>
        <w:autoSpaceDN/>
        <w:bidi w:val="0"/>
        <w:spacing w:line="240" w:lineRule="auto"/>
        <w:ind w:right="0" w:firstLine="640" w:firstLineChars="200"/>
        <w:textAlignment w:val="auto"/>
        <w:rPr>
          <w:rFonts w:hint="eastAsia" w:ascii="仿宋" w:hAnsi="仿宋" w:eastAsia="仿宋" w:cs="仿宋"/>
          <w:b w:val="0"/>
          <w:bCs w:val="0"/>
          <w:position w:val="1"/>
        </w:rPr>
      </w:pPr>
      <w:r>
        <w:rPr>
          <w:rFonts w:hint="eastAsia" w:ascii="仿宋" w:hAnsi="仿宋" w:eastAsia="仿宋" w:cs="仿宋"/>
          <w:b w:val="0"/>
          <w:bCs w:val="0"/>
        </w:rPr>
        <w:t>201</w:t>
      </w:r>
      <w:r>
        <w:rPr>
          <w:rFonts w:hint="eastAsia" w:ascii="仿宋" w:hAnsi="仿宋" w:eastAsia="仿宋" w:cs="仿宋"/>
          <w:b w:val="0"/>
          <w:bCs w:val="0"/>
          <w:lang w:val="en-US" w:eastAsia="zh-CN"/>
        </w:rPr>
        <w:t>9</w:t>
      </w:r>
      <w:r>
        <w:rPr>
          <w:rFonts w:hint="eastAsia" w:ascii="仿宋" w:hAnsi="仿宋" w:eastAsia="仿宋" w:cs="仿宋"/>
          <w:b w:val="0"/>
          <w:bCs w:val="0"/>
          <w:spacing w:val="-5"/>
        </w:rPr>
        <w:t xml:space="preserve"> 年度“三公”经费财政拨款支出决算中，因公出</w:t>
      </w:r>
      <w:r>
        <w:rPr>
          <w:rFonts w:hint="eastAsia" w:ascii="仿宋" w:hAnsi="仿宋" w:eastAsia="仿宋" w:cs="仿宋"/>
          <w:b w:val="0"/>
          <w:bCs w:val="0"/>
          <w:spacing w:val="-5"/>
          <w:lang w:val="en-US" w:eastAsia="zh-CN"/>
        </w:rPr>
        <w:t>国</w:t>
      </w:r>
      <w:r>
        <w:rPr>
          <w:rFonts w:hint="eastAsia" w:ascii="仿宋" w:hAnsi="仿宋" w:eastAsia="仿宋" w:cs="仿宋"/>
          <w:b w:val="0"/>
          <w:bCs w:val="0"/>
        </w:rPr>
        <w:t>（境</w:t>
      </w:r>
      <w:r>
        <w:rPr>
          <w:rFonts w:hint="eastAsia" w:ascii="仿宋" w:hAnsi="仿宋" w:eastAsia="仿宋" w:cs="仿宋"/>
          <w:b w:val="0"/>
          <w:bCs w:val="0"/>
          <w:spacing w:val="-159"/>
        </w:rPr>
        <w:t>）</w:t>
      </w:r>
      <w:r>
        <w:rPr>
          <w:rFonts w:hint="eastAsia" w:ascii="仿宋" w:hAnsi="仿宋" w:eastAsia="仿宋" w:cs="仿宋"/>
          <w:b w:val="0"/>
          <w:bCs w:val="0"/>
          <w:spacing w:val="-159"/>
          <w:lang w:val="en-US" w:eastAsia="zh-CN"/>
        </w:rPr>
        <w:t xml:space="preserve">                                             </w:t>
      </w:r>
      <w:r>
        <w:rPr>
          <w:rFonts w:hint="eastAsia" w:ascii="仿宋" w:hAnsi="仿宋" w:eastAsia="仿宋" w:cs="仿宋"/>
          <w:b w:val="0"/>
          <w:bCs w:val="0"/>
        </w:rPr>
        <w:t>费支出决算</w:t>
      </w:r>
      <w:r>
        <w:rPr>
          <w:rFonts w:hint="eastAsia" w:ascii="仿宋" w:hAnsi="仿宋" w:eastAsia="仿宋" w:cs="仿宋"/>
          <w:b w:val="0"/>
          <w:bCs w:val="0"/>
          <w:spacing w:val="-85"/>
        </w:rPr>
        <w:t xml:space="preserve"> </w:t>
      </w:r>
      <w:r>
        <w:rPr>
          <w:rFonts w:hint="eastAsia" w:ascii="仿宋" w:hAnsi="仿宋" w:eastAsia="仿宋" w:cs="仿宋"/>
          <w:b w:val="0"/>
          <w:bCs w:val="0"/>
        </w:rPr>
        <w:t>0</w:t>
      </w:r>
      <w:r>
        <w:rPr>
          <w:rFonts w:hint="eastAsia" w:ascii="仿宋" w:hAnsi="仿宋" w:eastAsia="仿宋" w:cs="仿宋"/>
          <w:b w:val="0"/>
          <w:bCs w:val="0"/>
          <w:spacing w:val="-88"/>
        </w:rPr>
        <w:t xml:space="preserve"> </w:t>
      </w:r>
      <w:r>
        <w:rPr>
          <w:rFonts w:hint="eastAsia" w:ascii="仿宋" w:hAnsi="仿宋" w:eastAsia="仿宋" w:cs="仿宋"/>
          <w:b w:val="0"/>
          <w:bCs w:val="0"/>
        </w:rPr>
        <w:t>万元</w:t>
      </w:r>
      <w:r>
        <w:rPr>
          <w:rFonts w:hint="eastAsia" w:ascii="仿宋" w:hAnsi="仿宋" w:eastAsia="仿宋" w:cs="仿宋"/>
          <w:b w:val="0"/>
          <w:bCs w:val="0"/>
          <w:spacing w:val="-159"/>
        </w:rPr>
        <w:t>，</w:t>
      </w:r>
      <w:r>
        <w:rPr>
          <w:rFonts w:hint="eastAsia" w:ascii="仿宋" w:hAnsi="仿宋" w:eastAsia="仿宋" w:cs="仿宋"/>
          <w:b w:val="0"/>
          <w:bCs w:val="0"/>
        </w:rPr>
        <w:t>占</w:t>
      </w:r>
      <w:r>
        <w:rPr>
          <w:rFonts w:hint="eastAsia" w:ascii="仿宋" w:hAnsi="仿宋" w:eastAsia="仿宋" w:cs="仿宋"/>
          <w:b w:val="0"/>
          <w:bCs w:val="0"/>
          <w:spacing w:val="-86"/>
        </w:rPr>
        <w:t xml:space="preserve"> </w:t>
      </w:r>
      <w:r>
        <w:rPr>
          <w:rFonts w:hint="eastAsia" w:ascii="仿宋" w:hAnsi="仿宋" w:eastAsia="仿宋" w:cs="仿宋"/>
          <w:b w:val="0"/>
          <w:bCs w:val="0"/>
          <w:spacing w:val="2"/>
        </w:rPr>
        <w:t>0</w:t>
      </w:r>
      <w:r>
        <w:rPr>
          <w:rFonts w:hint="eastAsia" w:ascii="仿宋" w:hAnsi="仿宋" w:eastAsia="仿宋" w:cs="仿宋"/>
          <w:b w:val="0"/>
          <w:bCs w:val="0"/>
          <w:spacing w:val="2"/>
          <w:lang w:val="en-US" w:eastAsia="zh-CN"/>
        </w:rPr>
        <w:t>%</w:t>
      </w:r>
      <w:r>
        <w:rPr>
          <w:rFonts w:hint="eastAsia" w:ascii="仿宋" w:hAnsi="仿宋" w:eastAsia="仿宋" w:cs="仿宋"/>
          <w:b w:val="0"/>
          <w:bCs w:val="0"/>
          <w:spacing w:val="-159"/>
        </w:rPr>
        <w:t>，</w:t>
      </w:r>
      <w:r>
        <w:rPr>
          <w:rFonts w:hint="eastAsia" w:ascii="仿宋" w:hAnsi="仿宋" w:eastAsia="仿宋" w:cs="仿宋"/>
          <w:b w:val="0"/>
          <w:bCs w:val="0"/>
        </w:rPr>
        <w:t>完成预算的</w:t>
      </w:r>
      <w:r>
        <w:rPr>
          <w:rFonts w:hint="eastAsia" w:ascii="仿宋" w:hAnsi="仿宋" w:eastAsia="仿宋" w:cs="仿宋"/>
          <w:b w:val="0"/>
          <w:bCs w:val="0"/>
          <w:spacing w:val="-84"/>
        </w:rPr>
        <w:t xml:space="preserve"> </w:t>
      </w:r>
      <w:r>
        <w:rPr>
          <w:rFonts w:hint="eastAsia" w:ascii="仿宋" w:hAnsi="仿宋" w:eastAsia="仿宋" w:cs="仿宋"/>
          <w:b w:val="0"/>
          <w:bCs w:val="0"/>
          <w:spacing w:val="2"/>
        </w:rPr>
        <w:t>0</w:t>
      </w:r>
      <w:r>
        <w:rPr>
          <w:rFonts w:hint="eastAsia" w:ascii="仿宋" w:hAnsi="仿宋" w:eastAsia="仿宋" w:cs="仿宋"/>
          <w:b w:val="0"/>
          <w:bCs w:val="0"/>
          <w:spacing w:val="2"/>
          <w:lang w:val="en-US" w:eastAsia="zh-CN"/>
        </w:rPr>
        <w:t xml:space="preserve"> %</w:t>
      </w:r>
      <w:r>
        <w:rPr>
          <w:rFonts w:hint="eastAsia" w:ascii="仿宋" w:hAnsi="仿宋" w:eastAsia="仿宋" w:cs="仿宋"/>
          <w:b w:val="0"/>
          <w:bCs w:val="0"/>
        </w:rPr>
        <w:t>；</w:t>
      </w:r>
      <w:r>
        <w:rPr>
          <w:rFonts w:hint="eastAsia" w:ascii="仿宋" w:hAnsi="仿宋" w:eastAsia="仿宋" w:cs="仿宋"/>
          <w:b w:val="0"/>
          <w:bCs w:val="0"/>
          <w:position w:val="1"/>
        </w:rPr>
        <w:t>公务用车购置及运行费支出决算</w:t>
      </w:r>
      <w:r>
        <w:rPr>
          <w:rFonts w:hint="eastAsia" w:ascii="仿宋" w:hAnsi="仿宋" w:eastAsia="仿宋" w:cs="仿宋"/>
          <w:b w:val="0"/>
          <w:bCs w:val="0"/>
          <w:position w:val="1"/>
          <w:lang w:val="en-US" w:eastAsia="zh-CN"/>
        </w:rPr>
        <w:t>3.3</w:t>
      </w:r>
      <w:r>
        <w:rPr>
          <w:rFonts w:hint="eastAsia" w:ascii="仿宋" w:hAnsi="仿宋" w:eastAsia="仿宋" w:cs="仿宋"/>
          <w:b w:val="0"/>
          <w:bCs w:val="0"/>
          <w:position w:val="1"/>
        </w:rPr>
        <w:t>万元</w:t>
      </w:r>
      <w:r>
        <w:rPr>
          <w:rFonts w:hint="eastAsia" w:ascii="仿宋" w:hAnsi="仿宋" w:eastAsia="仿宋" w:cs="仿宋"/>
          <w:b w:val="0"/>
          <w:bCs w:val="0"/>
          <w:spacing w:val="-46"/>
          <w:position w:val="1"/>
        </w:rPr>
        <w:t>，</w:t>
      </w:r>
      <w:r>
        <w:rPr>
          <w:rFonts w:hint="eastAsia" w:ascii="仿宋" w:hAnsi="仿宋" w:eastAsia="仿宋" w:cs="仿宋"/>
          <w:b w:val="0"/>
          <w:bCs w:val="0"/>
          <w:position w:val="1"/>
        </w:rPr>
        <w:t>占</w:t>
      </w:r>
      <w:r>
        <w:rPr>
          <w:rFonts w:hint="eastAsia" w:ascii="仿宋" w:hAnsi="仿宋" w:eastAsia="仿宋" w:cs="仿宋"/>
          <w:b w:val="0"/>
          <w:bCs w:val="0"/>
          <w:position w:val="1"/>
          <w:lang w:val="en-US" w:eastAsia="zh-CN"/>
        </w:rPr>
        <w:t>100%</w:t>
      </w:r>
      <w:r>
        <w:rPr>
          <w:rFonts w:hint="eastAsia" w:ascii="仿宋" w:hAnsi="仿宋" w:eastAsia="仿宋" w:cs="仿宋"/>
          <w:b w:val="0"/>
          <w:bCs w:val="0"/>
          <w:spacing w:val="-48"/>
          <w:position w:val="1"/>
        </w:rPr>
        <w:t>，</w:t>
      </w:r>
      <w:r>
        <w:rPr>
          <w:rFonts w:hint="eastAsia" w:ascii="仿宋" w:hAnsi="仿宋" w:eastAsia="仿宋" w:cs="仿宋"/>
          <w:b w:val="0"/>
          <w:bCs w:val="0"/>
          <w:position w:val="1"/>
        </w:rPr>
        <w:t>完</w:t>
      </w:r>
      <w:r>
        <w:rPr>
          <w:rFonts w:hint="eastAsia" w:ascii="仿宋" w:hAnsi="仿宋" w:eastAsia="仿宋" w:cs="仿宋"/>
          <w:b w:val="0"/>
          <w:bCs w:val="0"/>
          <w:spacing w:val="24"/>
        </w:rPr>
        <w:t>成预算</w:t>
      </w:r>
      <w:r>
        <w:rPr>
          <w:rFonts w:hint="eastAsia" w:ascii="仿宋" w:hAnsi="仿宋" w:eastAsia="仿宋" w:cs="仿宋"/>
          <w:b w:val="0"/>
          <w:bCs w:val="0"/>
        </w:rPr>
        <w:t>的</w:t>
      </w:r>
      <w:r>
        <w:rPr>
          <w:rFonts w:hint="eastAsia" w:ascii="仿宋" w:hAnsi="仿宋" w:eastAsia="仿宋" w:cs="仿宋"/>
          <w:b w:val="0"/>
          <w:bCs w:val="0"/>
          <w:lang w:val="en-US" w:eastAsia="zh-CN"/>
        </w:rPr>
        <w:t>100%；</w:t>
      </w:r>
      <w:r>
        <w:rPr>
          <w:rFonts w:hint="eastAsia" w:ascii="仿宋" w:hAnsi="仿宋" w:eastAsia="仿宋" w:cs="仿宋"/>
          <w:b w:val="0"/>
          <w:bCs w:val="0"/>
          <w:spacing w:val="24"/>
        </w:rPr>
        <w:t>公务接待费支出决</w:t>
      </w:r>
      <w:r>
        <w:rPr>
          <w:rFonts w:hint="eastAsia" w:ascii="仿宋" w:hAnsi="仿宋" w:eastAsia="仿宋" w:cs="仿宋"/>
          <w:b w:val="0"/>
          <w:bCs w:val="0"/>
        </w:rPr>
        <w:t>算</w:t>
      </w:r>
      <w:r>
        <w:rPr>
          <w:rFonts w:hint="eastAsia" w:ascii="仿宋" w:hAnsi="仿宋" w:eastAsia="仿宋" w:cs="仿宋"/>
          <w:b w:val="0"/>
          <w:bCs w:val="0"/>
          <w:spacing w:val="35"/>
          <w:lang w:val="en-US" w:eastAsia="zh-CN"/>
        </w:rPr>
        <w:t>0</w:t>
      </w:r>
      <w:r>
        <w:rPr>
          <w:rFonts w:hint="eastAsia" w:ascii="仿宋" w:hAnsi="仿宋" w:eastAsia="仿宋" w:cs="仿宋"/>
          <w:b w:val="0"/>
          <w:bCs w:val="0"/>
          <w:spacing w:val="24"/>
        </w:rPr>
        <w:t>万元，</w:t>
      </w:r>
      <w:r>
        <w:rPr>
          <w:rFonts w:hint="eastAsia" w:ascii="仿宋" w:hAnsi="仿宋" w:eastAsia="仿宋" w:cs="仿宋"/>
          <w:b w:val="0"/>
          <w:bCs w:val="0"/>
        </w:rPr>
        <w:t>占</w:t>
      </w:r>
      <w:r>
        <w:rPr>
          <w:rFonts w:hint="eastAsia" w:ascii="仿宋" w:hAnsi="仿宋" w:eastAsia="仿宋" w:cs="仿宋"/>
          <w:b w:val="0"/>
          <w:bCs w:val="0"/>
          <w:spacing w:val="2"/>
          <w:position w:val="1"/>
          <w:lang w:val="en-US" w:eastAsia="zh-CN"/>
        </w:rPr>
        <w:t>0</w:t>
      </w:r>
      <w:r>
        <w:rPr>
          <w:rFonts w:hint="eastAsia" w:ascii="仿宋" w:hAnsi="仿宋" w:eastAsia="仿宋" w:cs="仿宋"/>
          <w:b w:val="0"/>
          <w:bCs w:val="0"/>
          <w:spacing w:val="11"/>
          <w:w w:val="99"/>
        </w:rPr>
        <w:drawing>
          <wp:inline distT="0" distB="0" distL="114300" distR="114300">
            <wp:extent cx="85090" cy="154940"/>
            <wp:effectExtent l="0" t="0" r="10160" b="16510"/>
            <wp:docPr id="1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5"/>
                    <pic:cNvPicPr>
                      <a:picLocks noChangeAspect="1"/>
                    </pic:cNvPicPr>
                  </pic:nvPicPr>
                  <pic:blipFill>
                    <a:blip r:embed="rId7"/>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b w:val="0"/>
          <w:bCs w:val="0"/>
          <w:position w:val="1"/>
        </w:rPr>
        <w:t>，完成预算的</w:t>
      </w:r>
      <w:r>
        <w:rPr>
          <w:rFonts w:hint="eastAsia" w:ascii="仿宋" w:hAnsi="仿宋" w:eastAsia="仿宋" w:cs="仿宋"/>
          <w:b w:val="0"/>
          <w:bCs w:val="0"/>
          <w:position w:val="1"/>
          <w:lang w:val="en-US" w:eastAsia="zh-CN"/>
        </w:rPr>
        <w:t>0%</w:t>
      </w:r>
      <w:r>
        <w:rPr>
          <w:rFonts w:hint="eastAsia" w:ascii="仿宋" w:hAnsi="仿宋" w:eastAsia="仿宋" w:cs="仿宋"/>
          <w:b w:val="0"/>
          <w:bCs w:val="0"/>
          <w:position w:val="1"/>
        </w:rPr>
        <w:t>。 具体情况如下：</w:t>
      </w:r>
    </w:p>
    <w:p>
      <w:pPr>
        <w:keepNext w:val="0"/>
        <w:keepLines w:val="0"/>
        <w:pageBreakBefore w:val="0"/>
        <w:widowControl/>
        <w:numPr>
          <w:ilvl w:val="0"/>
          <w:numId w:val="6"/>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初预算为3.3万元，支出决算为9.9万元，完成年初预算的100%。其中：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b w:val="0"/>
          <w:bCs w:val="0"/>
          <w:color w:val="auto"/>
          <w:sz w:val="32"/>
          <w:szCs w:val="32"/>
          <w:highlight w:val="none"/>
          <w:lang w:val="en-US" w:eastAsia="zh-CN"/>
        </w:rPr>
        <w:t>3.3</w:t>
      </w:r>
      <w:r>
        <w:rPr>
          <w:rFonts w:hint="eastAsia" w:ascii="仿宋_GB2312" w:hAnsi="仿宋_GB2312" w:eastAsia="仿宋_GB2312" w:cs="仿宋_GB2312"/>
          <w:color w:val="auto"/>
          <w:sz w:val="32"/>
          <w:szCs w:val="32"/>
          <w:highlight w:val="none"/>
          <w:lang w:val="en-US" w:eastAsia="zh-CN"/>
        </w:rPr>
        <w:t>万元。</w:t>
      </w:r>
      <w:r>
        <w:rPr>
          <w:rFonts w:hint="eastAsia" w:ascii="仿宋" w:hAnsi="仿宋" w:eastAsia="仿宋" w:cs="仿宋"/>
          <w:b w:val="0"/>
          <w:bCs w:val="0"/>
          <w:w w:val="95"/>
          <w:sz w:val="32"/>
          <w:szCs w:val="32"/>
        </w:rPr>
        <w:t>主要用于公车燃油、公车过路费、公车维修维护费</w:t>
      </w:r>
      <w:r>
        <w:rPr>
          <w:rFonts w:hint="eastAsia" w:ascii="仿宋" w:hAnsi="仿宋" w:eastAsia="仿宋" w:cs="仿宋"/>
          <w:b w:val="0"/>
          <w:bCs w:val="0"/>
          <w:w w:val="95"/>
          <w:sz w:val="30"/>
          <w:szCs w:val="30"/>
        </w:rPr>
        <w:t>等</w:t>
      </w:r>
      <w:r>
        <w:rPr>
          <w:rFonts w:hint="eastAsia" w:ascii="仿宋" w:hAnsi="仿宋" w:eastAsia="仿宋" w:cs="仿宋"/>
          <w:b w:val="0"/>
          <w:bCs w:val="0"/>
          <w:w w:val="95"/>
          <w:sz w:val="30"/>
          <w:szCs w:val="30"/>
          <w:lang w:val="en-US" w:eastAsia="zh-CN"/>
        </w:rPr>
        <w:t>。</w:t>
      </w:r>
      <w:r>
        <w:rPr>
          <w:rFonts w:hint="eastAsia" w:ascii="仿宋_GB2312" w:hAnsi="仿宋_GB2312" w:eastAsia="仿宋_GB2312" w:cs="仿宋_GB2312"/>
          <w:color w:val="auto"/>
          <w:sz w:val="32"/>
          <w:szCs w:val="32"/>
          <w:highlight w:val="none"/>
          <w:lang w:val="en-US" w:eastAsia="zh-CN"/>
        </w:rPr>
        <w:t>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numPr>
          <w:ilvl w:val="0"/>
          <w:numId w:val="7"/>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000000" w:themeColor="text1"/>
          <w:sz w:val="32"/>
          <w:szCs w:val="32"/>
          <w:highlight w:val="none"/>
          <w:u w:val="singl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预算绩效情况说明</w:t>
      </w:r>
    </w:p>
    <w:p>
      <w:pPr>
        <w:spacing w:line="700" w:lineRule="exact"/>
        <w:ind w:firstLine="616" w:firstLineChars="200"/>
        <w:jc w:val="both"/>
        <w:rPr>
          <w:rFonts w:hint="eastAsia" w:ascii="黑体" w:hAnsi="黑体" w:eastAsia="黑体" w:cs="黑体"/>
          <w:sz w:val="32"/>
          <w:szCs w:val="32"/>
          <w:lang w:val="en-US" w:eastAsia="zh-CN"/>
        </w:rPr>
      </w:pPr>
      <w:r>
        <w:rPr>
          <w:rFonts w:hint="eastAsia" w:ascii="黑体" w:hAnsi="黑体" w:eastAsia="黑体" w:cs="黑体"/>
          <w:spacing w:val="-6"/>
          <w:sz w:val="32"/>
          <w:szCs w:val="32"/>
          <w:lang w:eastAsia="zh-CN"/>
        </w:rPr>
        <w:t>（</w:t>
      </w:r>
      <w:r>
        <w:rPr>
          <w:rFonts w:hint="eastAsia" w:ascii="黑体" w:hAnsi="黑体" w:eastAsia="黑体" w:cs="黑体"/>
          <w:spacing w:val="-6"/>
          <w:sz w:val="32"/>
          <w:szCs w:val="32"/>
          <w:lang w:val="en-US" w:eastAsia="zh-CN"/>
        </w:rPr>
        <w:t>一</w:t>
      </w:r>
      <w:r>
        <w:rPr>
          <w:rFonts w:hint="eastAsia" w:ascii="黑体" w:hAnsi="黑体" w:eastAsia="黑体" w:cs="黑体"/>
          <w:spacing w:val="-6"/>
          <w:sz w:val="32"/>
          <w:szCs w:val="32"/>
          <w:lang w:eastAsia="zh-CN"/>
        </w:rPr>
        <w:t>）</w:t>
      </w:r>
      <w:r>
        <w:rPr>
          <w:rFonts w:hint="eastAsia" w:ascii="黑体" w:hAnsi="黑体" w:eastAsia="黑体" w:cs="黑体"/>
          <w:spacing w:val="-6"/>
          <w:sz w:val="32"/>
          <w:szCs w:val="32"/>
        </w:rPr>
        <w:t>濮阳县2019年大中型水库移民</w:t>
      </w:r>
      <w:r>
        <w:rPr>
          <w:rFonts w:hint="eastAsia" w:ascii="黑体" w:hAnsi="黑体" w:eastAsia="黑体" w:cs="黑体"/>
          <w:spacing w:val="-6"/>
          <w:sz w:val="32"/>
          <w:szCs w:val="32"/>
          <w:lang w:eastAsia="zh-CN"/>
        </w:rPr>
        <w:t>项目</w:t>
      </w:r>
    </w:p>
    <w:p>
      <w:pPr>
        <w:pStyle w:val="7"/>
        <w:tabs>
          <w:tab w:val="left" w:pos="720"/>
        </w:tabs>
        <w:spacing w:line="600" w:lineRule="exact"/>
        <w:ind w:left="0" w:leftChars="0" w:firstLine="838" w:firstLineChars="262"/>
        <w:jc w:val="both"/>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根据《濮阳市财政局、濮阳市水利局关于下达201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年度中央大中型水库移民后期扶持基金(资金)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的通知》（濮财预[2018]</w:t>
      </w:r>
      <w:r>
        <w:rPr>
          <w:rFonts w:hint="eastAsia" w:ascii="仿宋_GB2312" w:hAnsi="仿宋_GB2312" w:eastAsia="仿宋_GB2312" w:cs="仿宋_GB2312"/>
          <w:sz w:val="32"/>
          <w:szCs w:val="32"/>
          <w:lang w:val="en-US" w:eastAsia="zh-CN"/>
        </w:rPr>
        <w:t>465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《濮阳市财政局、濮阳市水利局关于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rPr>
        <w:t>濮阳县2019年大中型水库移民后期扶持</w:t>
      </w:r>
      <w:r>
        <w:rPr>
          <w:rFonts w:hint="eastAsia" w:ascii="仿宋_GB2312" w:hAnsi="仿宋_GB2312" w:eastAsia="仿宋_GB2312" w:cs="仿宋_GB2312"/>
          <w:sz w:val="32"/>
          <w:szCs w:val="32"/>
          <w:lang w:eastAsia="zh-CN"/>
        </w:rPr>
        <w:t>基金预算</w:t>
      </w:r>
      <w:r>
        <w:rPr>
          <w:rFonts w:hint="eastAsia" w:ascii="仿宋_GB2312" w:hAnsi="仿宋_GB2312" w:eastAsia="仿宋_GB2312" w:cs="仿宋_GB2312"/>
          <w:sz w:val="32"/>
          <w:szCs w:val="32"/>
        </w:rPr>
        <w:t>的通知》（濮财预[201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《濮阳市财政局、濮阳市水利局关于下达201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跨省级大中型水库库区</w:t>
      </w:r>
      <w:r>
        <w:rPr>
          <w:rFonts w:hint="eastAsia" w:ascii="仿宋_GB2312" w:hAnsi="仿宋_GB2312" w:eastAsia="仿宋_GB2312" w:cs="仿宋_GB2312"/>
          <w:sz w:val="32"/>
          <w:szCs w:val="32"/>
        </w:rPr>
        <w:t>基金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的通知》（濮财预[2018]</w:t>
      </w:r>
      <w:r>
        <w:rPr>
          <w:rFonts w:hint="eastAsia" w:ascii="仿宋_GB2312" w:hAnsi="仿宋_GB2312" w:eastAsia="仿宋_GB2312" w:cs="仿宋_GB2312"/>
          <w:sz w:val="32"/>
          <w:szCs w:val="32"/>
          <w:lang w:val="en-US" w:eastAsia="zh-CN"/>
        </w:rPr>
        <w:t>464</w:t>
      </w:r>
      <w:r>
        <w:rPr>
          <w:rFonts w:hint="eastAsia" w:ascii="仿宋_GB2312" w:hAnsi="仿宋_GB2312" w:eastAsia="仿宋_GB2312" w:cs="仿宋_GB2312"/>
          <w:sz w:val="32"/>
          <w:szCs w:val="32"/>
        </w:rPr>
        <w:t>号）文件</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下达我县的资金额度</w:t>
      </w:r>
      <w:r>
        <w:rPr>
          <w:rFonts w:hint="eastAsia" w:ascii="仿宋_GB2312" w:hAnsi="仿宋_GB2312" w:eastAsia="仿宋_GB2312" w:cs="仿宋_GB2312"/>
          <w:sz w:val="32"/>
          <w:szCs w:val="32"/>
          <w:lang w:val="en-US" w:eastAsia="zh-CN"/>
        </w:rPr>
        <w:t>248万.</w:t>
      </w:r>
      <w:r>
        <w:rPr>
          <w:rFonts w:hint="eastAsia" w:ascii="仿宋_GB2312" w:hAnsi="仿宋_GB2312" w:eastAsia="仿宋_GB2312" w:cs="仿宋_GB2312"/>
          <w:sz w:val="32"/>
          <w:szCs w:val="32"/>
          <w:lang w:eastAsia="zh-CN"/>
        </w:rPr>
        <w:t>在户部寨镇大屯、</w:t>
      </w:r>
      <w:r>
        <w:rPr>
          <w:rFonts w:hint="eastAsia" w:ascii="仿宋_GB2312" w:hAnsi="仿宋_GB2312" w:eastAsia="仿宋_GB2312" w:cs="仿宋_GB2312"/>
          <w:sz w:val="32"/>
          <w:szCs w:val="32"/>
          <w:lang w:val="en-US" w:eastAsia="zh-CN"/>
        </w:rPr>
        <w:t>后李海、前郭龙、小濮洲、左店、后榆元、江庄、大张村、前李海、孙庄、张堂等11个</w:t>
      </w:r>
      <w:r>
        <w:rPr>
          <w:rFonts w:hint="eastAsia" w:ascii="仿宋_GB2312" w:hAnsi="仿宋_GB2312" w:eastAsia="仿宋_GB2312" w:cs="仿宋_GB2312"/>
          <w:sz w:val="32"/>
          <w:szCs w:val="32"/>
          <w:lang w:eastAsia="zh-CN"/>
        </w:rPr>
        <w:t>移民居住村；</w:t>
      </w:r>
      <w:r>
        <w:rPr>
          <w:rFonts w:hint="eastAsia" w:ascii="仿宋_GB2312" w:hAnsi="仿宋_GB2312" w:eastAsia="仿宋_GB2312" w:cs="仿宋_GB2312"/>
          <w:sz w:val="32"/>
          <w:szCs w:val="32"/>
          <w:lang w:val="en-US" w:eastAsia="zh-CN"/>
        </w:rPr>
        <w:t xml:space="preserve"> 柳屯镇黄庙、虎山寨、吉村3</w:t>
      </w:r>
      <w:r>
        <w:rPr>
          <w:rFonts w:hint="eastAsia" w:ascii="仿宋_GB2312" w:hAnsi="仿宋_GB2312" w:eastAsia="仿宋_GB2312" w:cs="仿宋_GB2312"/>
          <w:sz w:val="32"/>
          <w:szCs w:val="32"/>
          <w:lang w:eastAsia="zh-CN"/>
        </w:rPr>
        <w:t>个移民居住村</w:t>
      </w:r>
      <w:r>
        <w:rPr>
          <w:rFonts w:hint="eastAsia" w:ascii="仿宋_GB2312" w:hAnsi="仿宋_GB2312" w:eastAsia="仿宋_GB2312" w:cs="仿宋_GB2312"/>
          <w:sz w:val="32"/>
          <w:szCs w:val="32"/>
          <w:lang w:val="en-US" w:eastAsia="zh-CN"/>
        </w:rPr>
        <w:t>文留镇文留村、徐镇镇王定村、白罡乡王密城、庞寨、小寨、宗寨、戚来庄、庆祖镇范寨村、习城乡西北庄、王称固镇温庄等8</w:t>
      </w:r>
      <w:r>
        <w:rPr>
          <w:rFonts w:hint="eastAsia" w:ascii="仿宋_GB2312" w:hAnsi="仿宋_GB2312" w:eastAsia="仿宋_GB2312" w:cs="仿宋_GB2312"/>
          <w:sz w:val="32"/>
          <w:szCs w:val="32"/>
        </w:rPr>
        <w:t>个乡镇共</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个移民居住村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4"/>
          <w:sz w:val="32"/>
          <w:szCs w:val="32"/>
        </w:rPr>
        <w:t>这</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w:t>
      </w:r>
      <w:r>
        <w:rPr>
          <w:rFonts w:hint="eastAsia" w:ascii="仿宋_GB2312" w:hAnsi="仿宋_GB2312" w:eastAsia="仿宋_GB2312" w:cs="仿宋_GB2312"/>
          <w:spacing w:val="4"/>
          <w:sz w:val="32"/>
          <w:szCs w:val="32"/>
        </w:rPr>
        <w:t>移民居住村水利基础设施薄弱，改善水利设施条件是包括移民在内的全体村民的一种夙愿，且当地政府大力支持，项目实施后，能确保大中型水库移民后期扶持资金发挥最大效益。</w:t>
      </w:r>
    </w:p>
    <w:p>
      <w:pPr>
        <w:pStyle w:val="7"/>
        <w:tabs>
          <w:tab w:val="left" w:pos="720"/>
        </w:tabs>
        <w:spacing w:line="600" w:lineRule="exact"/>
        <w:ind w:left="0" w:leftChars="0" w:firstLine="859" w:firstLineChars="262"/>
        <w:jc w:val="both"/>
        <w:rPr>
          <w:rFonts w:hint="eastAsia" w:ascii="仿宋_GB2312" w:hAnsi="仿宋_GB2312" w:eastAsia="仿宋_GB2312" w:cs="仿宋_GB2312"/>
          <w:sz w:val="32"/>
          <w:szCs w:val="32"/>
        </w:rPr>
      </w:pPr>
      <w:r>
        <w:rPr>
          <w:rFonts w:hint="eastAsia" w:ascii="仿宋_GB2312" w:hAnsi="仿宋_GB2312" w:eastAsia="仿宋_GB2312" w:cs="仿宋_GB2312"/>
          <w:spacing w:val="4"/>
          <w:sz w:val="32"/>
          <w:szCs w:val="32"/>
        </w:rPr>
        <w:t>该项目主要建设内容为：衬砌斗渠</w:t>
      </w:r>
      <w:r>
        <w:rPr>
          <w:rFonts w:hint="eastAsia" w:ascii="仿宋_GB2312" w:hAnsi="仿宋_GB2312" w:eastAsia="仿宋_GB2312" w:cs="仿宋_GB2312"/>
          <w:spacing w:val="4"/>
          <w:sz w:val="32"/>
          <w:szCs w:val="32"/>
          <w:lang w:val="en-US" w:eastAsia="zh-CN"/>
        </w:rPr>
        <w:t>10</w:t>
      </w:r>
      <w:r>
        <w:rPr>
          <w:rFonts w:hint="eastAsia" w:ascii="仿宋_GB2312" w:hAnsi="仿宋_GB2312" w:eastAsia="仿宋_GB2312" w:cs="仿宋_GB2312"/>
          <w:spacing w:val="4"/>
          <w:sz w:val="32"/>
          <w:szCs w:val="32"/>
        </w:rPr>
        <w:t>0m；</w:t>
      </w:r>
      <w:r>
        <w:rPr>
          <w:rFonts w:hint="eastAsia" w:ascii="仿宋_GB2312" w:hAnsi="仿宋_GB2312" w:eastAsia="仿宋_GB2312" w:cs="仿宋_GB2312"/>
          <w:spacing w:val="4"/>
          <w:sz w:val="32"/>
          <w:szCs w:val="32"/>
          <w:lang w:eastAsia="zh-CN"/>
        </w:rPr>
        <w:t>改建桥梁</w:t>
      </w:r>
      <w:r>
        <w:rPr>
          <w:rFonts w:hint="eastAsia" w:ascii="仿宋_GB2312" w:hAnsi="仿宋_GB2312" w:eastAsia="仿宋_GB2312" w:cs="仿宋_GB2312"/>
          <w:spacing w:val="4"/>
          <w:sz w:val="32"/>
          <w:szCs w:val="32"/>
          <w:lang w:val="en-US" w:eastAsia="zh-CN"/>
        </w:rPr>
        <w:t>2座，桥梁基础加固2处，</w:t>
      </w:r>
      <w:r>
        <w:rPr>
          <w:rFonts w:hint="eastAsia" w:ascii="仿宋_GB2312" w:hAnsi="仿宋_GB2312" w:eastAsia="仿宋_GB2312" w:cs="仿宋_GB2312"/>
          <w:sz w:val="32"/>
          <w:szCs w:val="32"/>
        </w:rPr>
        <w:t>新打机井</w:t>
      </w:r>
      <w:r>
        <w:rPr>
          <w:rFonts w:hint="eastAsia" w:ascii="仿宋_GB2312" w:hAnsi="仿宋_GB2312" w:eastAsia="仿宋_GB2312" w:cs="仿宋_GB2312"/>
          <w:sz w:val="32"/>
          <w:szCs w:val="32"/>
          <w:lang w:val="en-US" w:eastAsia="zh-CN"/>
        </w:rPr>
        <w:t>58眼</w:t>
      </w:r>
      <w:r>
        <w:rPr>
          <w:rFonts w:hint="eastAsia" w:ascii="仿宋_GB2312" w:hAnsi="仿宋_GB2312" w:eastAsia="仿宋_GB2312" w:cs="仿宋_GB2312"/>
          <w:sz w:val="32"/>
          <w:szCs w:val="32"/>
        </w:rPr>
        <w:t>（含井台、井盖、标志牌、刷白）</w:t>
      </w:r>
      <w:r>
        <w:rPr>
          <w:rFonts w:hint="eastAsia" w:ascii="仿宋_GB2312" w:hAnsi="仿宋_GB2312" w:eastAsia="仿宋_GB2312" w:cs="仿宋_GB2312"/>
          <w:spacing w:val="4"/>
          <w:sz w:val="32"/>
          <w:szCs w:val="32"/>
          <w:lang w:eastAsia="zh-CN"/>
        </w:rPr>
        <w:t>修建机耕路</w:t>
      </w:r>
      <w:r>
        <w:rPr>
          <w:rFonts w:hint="eastAsia" w:ascii="仿宋_GB2312" w:hAnsi="仿宋_GB2312" w:eastAsia="仿宋_GB2312" w:cs="仿宋_GB2312"/>
          <w:spacing w:val="4"/>
          <w:sz w:val="32"/>
          <w:szCs w:val="32"/>
          <w:lang w:val="en-US" w:eastAsia="zh-CN"/>
        </w:rPr>
        <w:t>1280米。</w:t>
      </w:r>
      <w:r>
        <w:rPr>
          <w:rFonts w:hint="eastAsia" w:ascii="仿宋_GB2312" w:hAnsi="仿宋_GB2312" w:eastAsia="仿宋_GB2312" w:cs="仿宋_GB2312"/>
          <w:sz w:val="32"/>
          <w:szCs w:val="32"/>
        </w:rPr>
        <w:t>工程预算投资</w:t>
      </w:r>
      <w:r>
        <w:rPr>
          <w:rFonts w:hint="eastAsia" w:ascii="仿宋_GB2312" w:hAnsi="仿宋_GB2312" w:eastAsia="仿宋_GB2312" w:cs="仿宋_GB2312"/>
          <w:sz w:val="32"/>
          <w:szCs w:val="32"/>
          <w:lang w:val="en-US" w:eastAsia="zh-CN"/>
        </w:rPr>
        <w:t>248</w:t>
      </w:r>
      <w:r>
        <w:rPr>
          <w:rFonts w:hint="eastAsia" w:ascii="仿宋_GB2312" w:hAnsi="仿宋_GB2312" w:eastAsia="仿宋_GB2312" w:cs="仿宋_GB2312"/>
          <w:sz w:val="32"/>
          <w:szCs w:val="32"/>
        </w:rPr>
        <w:t>万元。</w:t>
      </w:r>
    </w:p>
    <w:p>
      <w:pPr>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项目建成后，将使包括库区移民在内的</w:t>
      </w:r>
      <w:r>
        <w:rPr>
          <w:rFonts w:hint="eastAsia" w:ascii="仿宋_GB2312" w:hAnsi="仿宋_GB2312" w:eastAsia="仿宋_GB2312" w:cs="仿宋_GB2312"/>
          <w:color w:val="000000"/>
          <w:sz w:val="32"/>
          <w:szCs w:val="32"/>
          <w:lang w:val="en-US" w:eastAsia="zh-CN"/>
        </w:rPr>
        <w:t>22323</w:t>
      </w:r>
      <w:r>
        <w:rPr>
          <w:rFonts w:hint="eastAsia" w:ascii="仿宋_GB2312" w:hAnsi="仿宋_GB2312" w:eastAsia="仿宋_GB2312" w:cs="仿宋_GB2312"/>
          <w:color w:val="000000"/>
          <w:sz w:val="32"/>
          <w:szCs w:val="32"/>
        </w:rPr>
        <w:t>人受益（其中移民人口</w:t>
      </w:r>
      <w:r>
        <w:rPr>
          <w:rFonts w:hint="eastAsia" w:ascii="仿宋_GB2312" w:hAnsi="仿宋_GB2312" w:eastAsia="仿宋_GB2312" w:cs="仿宋_GB2312"/>
          <w:color w:val="000000"/>
          <w:sz w:val="32"/>
          <w:szCs w:val="32"/>
          <w:lang w:val="en-US" w:eastAsia="zh-CN"/>
        </w:rPr>
        <w:t>249</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val="en-US" w:eastAsia="zh-CN"/>
        </w:rPr>
        <w:t>，850</w:t>
      </w:r>
      <w:r>
        <w:rPr>
          <w:rFonts w:hint="eastAsia" w:ascii="仿宋_GB2312" w:hAnsi="仿宋_GB2312" w:eastAsia="仿宋_GB2312" w:cs="仿宋_GB2312"/>
          <w:color w:val="000000"/>
          <w:sz w:val="32"/>
          <w:szCs w:val="32"/>
        </w:rPr>
        <w:t>0亩耕地灌溉条件</w:t>
      </w:r>
      <w:r>
        <w:rPr>
          <w:rFonts w:hint="eastAsia" w:ascii="仿宋_GB2312" w:hAnsi="仿宋_GB2312" w:eastAsia="仿宋_GB2312" w:cs="仿宋_GB2312"/>
          <w:sz w:val="32"/>
          <w:szCs w:val="32"/>
        </w:rPr>
        <w:t>得到改善，生产条件得到提高，经济效益和社会效益显著。</w:t>
      </w:r>
    </w:p>
    <w:p>
      <w:pPr>
        <w:ind w:left="0" w:leftChars="0" w:firstLine="569" w:firstLineChars="177"/>
        <w:jc w:val="left"/>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
          <w:bCs/>
          <w:kern w:val="2"/>
          <w:sz w:val="32"/>
          <w:szCs w:val="32"/>
          <w:lang w:val="en-US" w:eastAsia="zh-CN" w:bidi="ar-SA"/>
        </w:rPr>
        <w:t>（二）濮阳县2019年灌排工程维修养护项目</w:t>
      </w:r>
    </w:p>
    <w:p>
      <w:pPr>
        <w:tabs>
          <w:tab w:val="left" w:pos="998"/>
        </w:tabs>
        <w:bidi w:val="0"/>
        <w:ind w:left="0" w:leftChars="0" w:firstLine="639" w:firstLineChars="213"/>
        <w:jc w:val="left"/>
        <w:rPr>
          <w:rFonts w:hint="eastAsia" w:ascii="仿宋" w:hAnsi="仿宋" w:eastAsia="仿宋" w:cs="仿宋"/>
          <w:bCs w:val="0"/>
          <w:sz w:val="30"/>
          <w:szCs w:val="30"/>
          <w:lang w:val="en-US" w:eastAsia="zh-CN"/>
        </w:rPr>
      </w:pPr>
      <w:r>
        <w:rPr>
          <w:rFonts w:hint="eastAsia" w:ascii="仿宋" w:hAnsi="仿宋" w:eastAsia="仿宋" w:cs="仿宋"/>
          <w:bCs w:val="0"/>
          <w:sz w:val="30"/>
          <w:szCs w:val="30"/>
          <w:lang w:val="en-US" w:eastAsia="zh-CN"/>
        </w:rPr>
        <w:t>濮阳市财政局、濮阳市水利局“关于下达2019年中央和省级水利发展资金的通知”（濮财预[2019]211号），2019年下达农田水利建设项目资金116万元，其中中央</w:t>
      </w:r>
      <w:r>
        <w:rPr>
          <w:rFonts w:hint="eastAsia" w:ascii="仿宋" w:hAnsi="仿宋" w:eastAsia="仿宋" w:cs="仿宋"/>
          <w:bCs w:val="0"/>
          <w:sz w:val="30"/>
          <w:szCs w:val="30"/>
        </w:rPr>
        <w:t>水利发展资金</w:t>
      </w:r>
      <w:r>
        <w:rPr>
          <w:rFonts w:hint="eastAsia" w:ascii="仿宋" w:hAnsi="仿宋" w:eastAsia="仿宋" w:cs="仿宋"/>
          <w:bCs w:val="0"/>
          <w:sz w:val="30"/>
          <w:szCs w:val="30"/>
          <w:lang w:val="en-US" w:eastAsia="zh-CN"/>
        </w:rPr>
        <w:t>57万元，省级资金59万元。其中省级预算资金59万元已用于县涉农统筹整合资金，本次规划不再考虑；本次规划仅考虑中央水利发展资金57万元的使用安排。</w:t>
      </w:r>
    </w:p>
    <w:p>
      <w:pPr>
        <w:numPr>
          <w:ilvl w:val="0"/>
          <w:numId w:val="0"/>
        </w:numPr>
        <w:ind w:left="0" w:leftChars="0" w:firstLine="639" w:firstLineChars="213"/>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本项目共涉及5座桥涵闸及一处管理房进行维修养护，具体建设内容为：生产桥桥墩、桥板、桥面及安全防护设施维修、盖板涵进行拓宽维修、退水闸安全防护设施、水管所管理房顶维修等建设内容。</w:t>
      </w:r>
    </w:p>
    <w:p>
      <w:pPr>
        <w:ind w:left="0" w:leftChars="0" w:firstLine="639" w:firstLineChars="213"/>
        <w:rPr>
          <w:rFonts w:hint="eastAsia"/>
          <w:sz w:val="36"/>
          <w:szCs w:val="36"/>
        </w:rPr>
      </w:pPr>
      <w:r>
        <w:rPr>
          <w:rFonts w:hint="eastAsia" w:ascii="仿宋" w:hAnsi="仿宋" w:eastAsia="仿宋" w:cs="仿宋"/>
          <w:color w:val="000000"/>
          <w:sz w:val="30"/>
          <w:szCs w:val="30"/>
          <w:lang w:val="en-US" w:eastAsia="zh-CN"/>
        </w:rPr>
        <w:t>项目实施后，有效改善群众的生产、生活条件，其保障了群众交通安全，提高了渠道的输配水能力，社会效益显著，得到了群众一致认可和好评。</w:t>
      </w:r>
      <w:r>
        <w:rPr>
          <w:rFonts w:hint="eastAsia"/>
          <w:sz w:val="36"/>
          <w:szCs w:val="36"/>
        </w:rPr>
        <w:t xml:space="preserve"> </w:t>
      </w:r>
    </w:p>
    <w:p>
      <w:pPr>
        <w:ind w:left="0" w:leftChars="0" w:firstLine="576" w:firstLineChars="200"/>
        <w:rPr>
          <w:rFonts w:hint="eastAsia" w:ascii="黑体" w:hAnsi="黑体" w:eastAsia="黑体" w:cs="黑体"/>
          <w:b/>
          <w:bCs/>
          <w:w w:val="90"/>
          <w:sz w:val="32"/>
          <w:szCs w:val="32"/>
        </w:rPr>
      </w:pPr>
      <w:r>
        <w:rPr>
          <w:rFonts w:hint="eastAsia" w:ascii="黑体" w:hAnsi="黑体" w:eastAsia="黑体" w:cs="黑体"/>
          <w:w w:val="90"/>
          <w:sz w:val="32"/>
          <w:szCs w:val="32"/>
          <w:lang w:val="en-US" w:eastAsia="zh-CN"/>
        </w:rPr>
        <w:t>（三）</w:t>
      </w:r>
      <w:r>
        <w:rPr>
          <w:rFonts w:hint="eastAsia" w:ascii="黑体" w:hAnsi="黑体" w:eastAsia="黑体" w:cs="黑体"/>
          <w:b/>
          <w:bCs/>
          <w:w w:val="90"/>
          <w:sz w:val="32"/>
          <w:szCs w:val="32"/>
        </w:rPr>
        <w:t>濮阳县农村饮水安全工程巩固提升2019年度工程</w:t>
      </w:r>
    </w:p>
    <w:p>
      <w:pPr>
        <w:ind w:left="0" w:leftChars="0" w:firstLine="638" w:firstLineChars="228"/>
        <w:jc w:val="both"/>
        <w:rPr>
          <w:rFonts w:ascii="仿宋_GB2312" w:hAnsi="仿宋_GB2312" w:eastAsia="仿宋_GB2312"/>
          <w:sz w:val="28"/>
          <w:szCs w:val="28"/>
        </w:rPr>
      </w:pPr>
      <w:r>
        <w:rPr>
          <w:rFonts w:hint="eastAsia" w:ascii="仿宋_GB2312" w:hAnsi="仿宋_GB2312" w:eastAsia="仿宋_GB2312"/>
          <w:sz w:val="28"/>
          <w:szCs w:val="28"/>
        </w:rPr>
        <w:t>濮阳县农村饮水安全巩固提升2019年度工程，依据经省政府批准的《河南省农村饮水安全巩固提升工程“十三五”规划》和我县相关扶贫攻坚政策，县水利局在科学论证和实地勘测的基础上，按照全县精准扶贫，精准脱贫的总要求，2019年1月31日通过公开招标，委托濮阳市水利勘测设计院编制了《濮阳县农村饮水安全巩固提升2019年度工程实施方案》。2019年6月25日以濮县水</w:t>
      </w:r>
      <w:r>
        <w:rPr>
          <w:rFonts w:hint="eastAsia" w:ascii="宋体" w:hAnsi="宋体" w:eastAsia="宋体" w:cs="宋体"/>
          <w:sz w:val="28"/>
          <w:szCs w:val="28"/>
        </w:rPr>
        <w:t>〔</w:t>
      </w:r>
      <w:r>
        <w:rPr>
          <w:rFonts w:hint="eastAsia" w:ascii="宋体" w:hAnsi="宋体" w:cs="宋体"/>
          <w:sz w:val="28"/>
          <w:szCs w:val="28"/>
          <w:lang w:val="en-US" w:eastAsia="zh-CN"/>
        </w:rPr>
        <w:t>2019</w:t>
      </w:r>
      <w:r>
        <w:rPr>
          <w:rFonts w:hint="eastAsia" w:ascii="宋体" w:hAnsi="宋体" w:eastAsia="宋体" w:cs="宋体"/>
          <w:sz w:val="28"/>
          <w:szCs w:val="28"/>
        </w:rPr>
        <w:t>〕</w:t>
      </w:r>
      <w:r>
        <w:rPr>
          <w:rFonts w:hint="eastAsia" w:ascii="仿宋_GB2312" w:hAnsi="仿宋_GB2312" w:eastAsia="仿宋_GB2312"/>
          <w:sz w:val="28"/>
          <w:szCs w:val="28"/>
        </w:rPr>
        <w:t>100号文《濮阳县水利局关于濮阳县农村饮水安全巩固提升2019年度工程实施方案的报告》，报濮阳县发改委审批。7月1日，濮阳县发改委以濮县发改</w:t>
      </w:r>
      <w:r>
        <w:rPr>
          <w:rFonts w:hint="eastAsia" w:ascii="宋体" w:hAnsi="宋体" w:eastAsia="宋体" w:cs="宋体"/>
          <w:sz w:val="28"/>
          <w:szCs w:val="28"/>
        </w:rPr>
        <w:t>〔</w:t>
      </w:r>
      <w:r>
        <w:rPr>
          <w:rFonts w:hint="eastAsia" w:ascii="宋体" w:hAnsi="宋体" w:cs="宋体"/>
          <w:sz w:val="28"/>
          <w:szCs w:val="28"/>
          <w:lang w:val="en-US" w:eastAsia="zh-CN"/>
        </w:rPr>
        <w:t>2019</w:t>
      </w:r>
      <w:r>
        <w:rPr>
          <w:rFonts w:hint="eastAsia" w:ascii="宋体" w:hAnsi="宋体" w:eastAsia="宋体" w:cs="宋体"/>
          <w:sz w:val="28"/>
          <w:szCs w:val="28"/>
        </w:rPr>
        <w:t>〕</w:t>
      </w:r>
      <w:r>
        <w:rPr>
          <w:rFonts w:hint="eastAsia" w:ascii="仿宋_GB2312" w:hAnsi="仿宋_GB2312" w:eastAsia="仿宋_GB2312"/>
          <w:sz w:val="28"/>
          <w:szCs w:val="28"/>
        </w:rPr>
        <w:t>101号文进行了批复。</w:t>
      </w:r>
    </w:p>
    <w:p>
      <w:pPr>
        <w:ind w:left="0" w:leftChars="0" w:firstLine="638" w:firstLineChars="228"/>
        <w:jc w:val="both"/>
        <w:rPr>
          <w:rFonts w:hint="eastAsia" w:ascii="仿宋_GB2312" w:hAnsi="仿宋_GB2312" w:eastAsia="仿宋_GB2312"/>
          <w:sz w:val="28"/>
          <w:szCs w:val="28"/>
        </w:rPr>
      </w:pPr>
      <w:r>
        <w:rPr>
          <w:rFonts w:hint="eastAsia" w:ascii="仿宋_GB2312" w:hAnsi="仿宋_GB2312" w:eastAsia="仿宋_GB2312"/>
          <w:sz w:val="28"/>
          <w:szCs w:val="28"/>
        </w:rPr>
        <w:t>方案批复下达后，水利局组织人员展开了工程建设前期准备工作，在市阳光大厦进行了公开招投标，并在相关网站进行了公示后与中标施工单位签订了合同。该工程共分为3个施工标1个监理标，施工单位为河南恒禹水利工程有限公司</w:t>
      </w:r>
      <w:r>
        <w:rPr>
          <w:rFonts w:ascii="仿宋_GB2312" w:hAnsi="仿宋_GB2312" w:eastAsia="仿宋_GB2312"/>
          <w:sz w:val="28"/>
          <w:szCs w:val="28"/>
        </w:rPr>
        <w:t xml:space="preserve"> 、</w:t>
      </w:r>
      <w:r>
        <w:rPr>
          <w:rFonts w:hint="eastAsia" w:ascii="仿宋_GB2312" w:hAnsi="仿宋_GB2312" w:eastAsia="仿宋_GB2312"/>
          <w:sz w:val="28"/>
          <w:szCs w:val="28"/>
        </w:rPr>
        <w:t>濮阳市黄龙水利水电工程有限公司</w:t>
      </w:r>
      <w:r>
        <w:rPr>
          <w:rFonts w:ascii="仿宋_GB2312" w:hAnsi="仿宋_GB2312" w:eastAsia="仿宋_GB2312"/>
          <w:sz w:val="28"/>
          <w:szCs w:val="28"/>
        </w:rPr>
        <w:t xml:space="preserve"> 、 </w:t>
      </w:r>
      <w:r>
        <w:rPr>
          <w:rFonts w:hint="eastAsia" w:ascii="仿宋_GB2312" w:hAnsi="仿宋_GB2312" w:eastAsia="仿宋_GB2312"/>
          <w:sz w:val="28"/>
          <w:szCs w:val="28"/>
        </w:rPr>
        <w:t>金龙水利工程（河南）有限公司；监理单位为濮阳市兴华工程咨询监理有限公司。</w:t>
      </w:r>
    </w:p>
    <w:p>
      <w:pPr>
        <w:ind w:left="0" w:leftChars="0" w:firstLine="638" w:firstLineChars="228"/>
        <w:jc w:val="both"/>
        <w:rPr>
          <w:rFonts w:hint="eastAsia" w:ascii="仿宋_GB2312" w:hAnsi="仿宋_GB2312" w:eastAsia="仿宋_GB2312"/>
          <w:sz w:val="28"/>
          <w:szCs w:val="28"/>
        </w:rPr>
      </w:pPr>
      <w:r>
        <w:rPr>
          <w:rFonts w:hint="eastAsia" w:ascii="仿宋_GB2312" w:hAnsi="仿宋_GB2312" w:eastAsia="仿宋_GB2312"/>
          <w:sz w:val="28"/>
          <w:szCs w:val="28"/>
        </w:rPr>
        <w:t xml:space="preserve">  </w:t>
      </w:r>
      <w:r>
        <w:rPr>
          <w:rFonts w:hint="eastAsia" w:ascii="仿宋_GB2312" w:hAnsi="仿宋_GB2312" w:eastAsia="仿宋_GB2312"/>
          <w:b/>
          <w:bCs/>
          <w:sz w:val="28"/>
          <w:szCs w:val="28"/>
        </w:rPr>
        <w:t xml:space="preserve"> </w:t>
      </w:r>
      <w:bookmarkStart w:id="0" w:name="_Hlk39417521"/>
      <w:r>
        <w:rPr>
          <w:rFonts w:hint="eastAsia" w:ascii="仿宋_GB2312" w:hAnsi="仿宋_GB2312" w:eastAsia="仿宋_GB2312"/>
          <w:sz w:val="28"/>
          <w:szCs w:val="28"/>
        </w:rPr>
        <w:t>濮阳县农村饮水安全工程巩固提升2019年度工程</w:t>
      </w:r>
      <w:bookmarkEnd w:id="0"/>
      <w:r>
        <w:rPr>
          <w:rFonts w:hint="eastAsia" w:ascii="仿宋_GB2312" w:hAnsi="仿宋_GB2312" w:eastAsia="仿宋_GB2312"/>
          <w:sz w:val="28"/>
          <w:szCs w:val="28"/>
        </w:rPr>
        <w:t>主要建设内容：建设水厂视频监控系统1处，新打水源井10眼，配套潜水泵10台，井房10座，铺设各类管道管道426千米，需完成土方工程12.55万立方米，混凝土路面1.56万平方米。总投资1939万元，其中中央预算内资金314万元，县级财政统筹资金1625万元。</w:t>
      </w:r>
    </w:p>
    <w:p>
      <w:pPr>
        <w:numPr>
          <w:ilvl w:val="0"/>
          <w:numId w:val="0"/>
        </w:numPr>
        <w:ind w:left="0" w:leftChars="0" w:firstLine="638" w:firstLineChars="228"/>
        <w:jc w:val="both"/>
        <w:rPr>
          <w:rFonts w:hint="eastAsia" w:ascii="仿宋" w:hAnsi="仿宋" w:eastAsia="仿宋" w:cs="仿宋"/>
          <w:sz w:val="30"/>
          <w:szCs w:val="30"/>
          <w:lang w:val="en-US" w:eastAsia="zh-CN"/>
        </w:rPr>
      </w:pPr>
      <w:r>
        <w:rPr>
          <w:rFonts w:hint="eastAsia" w:ascii="仿宋_GB2312" w:hAnsi="仿宋_GB2312" w:eastAsia="仿宋_GB2312"/>
          <w:sz w:val="28"/>
          <w:szCs w:val="28"/>
          <w:lang w:val="en-US" w:eastAsia="zh-CN"/>
        </w:rPr>
        <w:t>项目完成后。，</w:t>
      </w:r>
      <w:r>
        <w:rPr>
          <w:rFonts w:hint="eastAsia" w:ascii="仿宋_GB2312" w:hAnsi="仿宋_GB2312" w:eastAsia="仿宋_GB2312"/>
          <w:sz w:val="28"/>
          <w:szCs w:val="28"/>
        </w:rPr>
        <w:t>对全县62个供水厂（站）进行</w:t>
      </w:r>
      <w:r>
        <w:rPr>
          <w:rFonts w:hint="eastAsia" w:ascii="仿宋_GB2312" w:hAnsi="仿宋_GB2312" w:eastAsia="仿宋_GB2312"/>
          <w:sz w:val="28"/>
          <w:szCs w:val="28"/>
          <w:lang w:eastAsia="zh-CN"/>
        </w:rPr>
        <w:t>了</w:t>
      </w:r>
      <w:r>
        <w:rPr>
          <w:rFonts w:hint="eastAsia" w:ascii="仿宋_GB2312" w:hAnsi="仿宋_GB2312" w:eastAsia="仿宋_GB2312"/>
          <w:sz w:val="28"/>
          <w:szCs w:val="28"/>
        </w:rPr>
        <w:t>改造提升，受益人口</w:t>
      </w:r>
      <w:r>
        <w:rPr>
          <w:rFonts w:ascii="仿宋_GB2312" w:hAnsi="仿宋_GB2312" w:eastAsia="仿宋_GB2312"/>
          <w:sz w:val="28"/>
          <w:szCs w:val="28"/>
        </w:rPr>
        <w:t>83</w:t>
      </w:r>
      <w:r>
        <w:rPr>
          <w:rFonts w:hint="eastAsia" w:ascii="仿宋_GB2312" w:hAnsi="仿宋_GB2312" w:eastAsia="仿宋_GB2312"/>
          <w:sz w:val="28"/>
          <w:szCs w:val="28"/>
        </w:rPr>
        <w:t>万人（贫困人口</w:t>
      </w:r>
      <w:r>
        <w:rPr>
          <w:rFonts w:ascii="仿宋_GB2312" w:hAnsi="仿宋_GB2312" w:eastAsia="仿宋_GB2312"/>
          <w:sz w:val="28"/>
          <w:szCs w:val="28"/>
        </w:rPr>
        <w:t>6.7</w:t>
      </w:r>
      <w:r>
        <w:rPr>
          <w:rFonts w:hint="eastAsia" w:ascii="仿宋_GB2312" w:hAnsi="仿宋_GB2312" w:eastAsia="仿宋_GB2312"/>
          <w:sz w:val="28"/>
          <w:szCs w:val="28"/>
        </w:rPr>
        <w:t>万人）。其中新增村2个，受益人口3136人（贫困人口59人），村内管网改造村庄8个，受益人口15806人（贫困人口864人）。</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2019年度政府性基金预算财政拨款支出年初预算为373万元，支出决算为373万元。完成年初预算的100%。主要用于基础设施建设和经济发展。</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初预算为169万元，支出决算为169万元，完成年初预算的100%。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2019年度机关运行经费支出169万元，较上年度减少5万元，减少2.87</w:t>
      </w:r>
      <w:bookmarkStart w:id="1" w:name="_GoBack"/>
      <w:bookmarkEnd w:id="1"/>
      <w:r>
        <w:rPr>
          <w:rFonts w:hint="eastAsia" w:ascii="仿宋_GB2312" w:hAnsi="仿宋_GB2312" w:eastAsia="仿宋_GB2312" w:cs="仿宋_GB2312"/>
          <w:color w:val="auto"/>
          <w:sz w:val="32"/>
          <w:szCs w:val="32"/>
          <w:highlight w:val="none"/>
          <w:lang w:val="en-US" w:eastAsia="zh-CN"/>
        </w:rPr>
        <w:t>%，主要原因是人员减资，缴费基数减少。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240" w:lineRule="auto"/>
        <w:ind w:left="210" w:leftChars="10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度政府采购支出总额9.7万元，其中：政府采购货物支出9.7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离退休干部用车0辆、其他用车1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十一、年末结余：本年度或以前年度预算安排，已执行完毕或因客观条件发生变化无法按原预算安排实施，不需要再使用或无法按原预算安排继续使用的资金</w:t>
      </w: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pPr>
        <w:widowControl w:val="0"/>
        <w:numPr>
          <w:ilvl w:val="0"/>
          <w:numId w:val="0"/>
        </w:numPr>
        <w:jc w:val="center"/>
        <w:outlineLvl w:val="0"/>
        <w:rPr>
          <w:rFonts w:hint="eastAsia" w:ascii="黑体" w:hAnsi="黑体" w:eastAsia="黑体" w:cs="黑体"/>
          <w:color w:val="auto"/>
          <w:sz w:val="48"/>
          <w:szCs w:val="48"/>
          <w:highlight w:val="none"/>
        </w:rPr>
      </w:pPr>
    </w:p>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7D97F"/>
    <w:multiLevelType w:val="singleLevel"/>
    <w:tmpl w:val="A027D97F"/>
    <w:lvl w:ilvl="0" w:tentative="0">
      <w:start w:val="8"/>
      <w:numFmt w:val="chineseCounting"/>
      <w:suff w:val="nothing"/>
      <w:lvlText w:val="%1、"/>
      <w:lvlJc w:val="left"/>
      <w:rPr>
        <w:rFonts w:hint="eastAsia"/>
      </w:rPr>
    </w:lvl>
  </w:abstractNum>
  <w:abstractNum w:abstractNumId="1">
    <w:nsid w:val="D5FE6115"/>
    <w:multiLevelType w:val="singleLevel"/>
    <w:tmpl w:val="D5FE6115"/>
    <w:lvl w:ilvl="0" w:tentative="0">
      <w:start w:val="1"/>
      <w:numFmt w:val="decimal"/>
      <w:suff w:val="nothing"/>
      <w:lvlText w:val="%1、"/>
      <w:lvlJc w:val="left"/>
    </w:lvl>
  </w:abstractNum>
  <w:abstractNum w:abstractNumId="2">
    <w:nsid w:val="087AD94A"/>
    <w:multiLevelType w:val="singleLevel"/>
    <w:tmpl w:val="087AD94A"/>
    <w:lvl w:ilvl="0" w:tentative="0">
      <w:start w:val="1"/>
      <w:numFmt w:val="decimal"/>
      <w:suff w:val="nothing"/>
      <w:lvlText w:val="%1、"/>
      <w:lvlJc w:val="left"/>
    </w:lvl>
  </w:abstractNum>
  <w:abstractNum w:abstractNumId="3">
    <w:nsid w:val="24B2DA00"/>
    <w:multiLevelType w:val="singleLevel"/>
    <w:tmpl w:val="24B2DA00"/>
    <w:lvl w:ilvl="0" w:tentative="0">
      <w:start w:val="1"/>
      <w:numFmt w:val="decimal"/>
      <w:suff w:val="nothing"/>
      <w:lvlText w:val="%1．"/>
      <w:lvlJc w:val="left"/>
    </w:lvl>
  </w:abstractNum>
  <w:abstractNum w:abstractNumId="4">
    <w:nsid w:val="362F520E"/>
    <w:multiLevelType w:val="singleLevel"/>
    <w:tmpl w:val="362F520E"/>
    <w:lvl w:ilvl="0" w:tentative="0">
      <w:start w:val="2"/>
      <w:numFmt w:val="chineseCounting"/>
      <w:suff w:val="space"/>
      <w:lvlText w:val="第%1部分"/>
      <w:lvlJc w:val="left"/>
      <w:rPr>
        <w:rFonts w:hint="eastAsia"/>
      </w:rPr>
    </w:lvl>
  </w:abstractNum>
  <w:abstractNum w:abstractNumId="5">
    <w:nsid w:val="5971BE17"/>
    <w:multiLevelType w:val="singleLevel"/>
    <w:tmpl w:val="5971BE17"/>
    <w:lvl w:ilvl="0" w:tentative="0">
      <w:start w:val="1"/>
      <w:numFmt w:val="chineseCounting"/>
      <w:suff w:val="nothing"/>
      <w:lvlText w:val="%1、"/>
      <w:lvlJc w:val="left"/>
    </w:lvl>
  </w:abstractNum>
  <w:abstractNum w:abstractNumId="6">
    <w:nsid w:val="6715A1E7"/>
    <w:multiLevelType w:val="singleLevel"/>
    <w:tmpl w:val="6715A1E7"/>
    <w:lvl w:ilvl="0" w:tentative="0">
      <w:start w:val="11"/>
      <w:numFmt w:val="decimal"/>
      <w:suff w:val="nothing"/>
      <w:lvlText w:val="%1、"/>
      <w:lvlJc w:val="left"/>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E47F4"/>
    <w:rsid w:val="00D35CCC"/>
    <w:rsid w:val="015B1269"/>
    <w:rsid w:val="039371E0"/>
    <w:rsid w:val="085F4B5A"/>
    <w:rsid w:val="09F14999"/>
    <w:rsid w:val="14556582"/>
    <w:rsid w:val="199F1902"/>
    <w:rsid w:val="1ADC2587"/>
    <w:rsid w:val="26086D7D"/>
    <w:rsid w:val="261D2308"/>
    <w:rsid w:val="27A75DCB"/>
    <w:rsid w:val="31CC3F77"/>
    <w:rsid w:val="32FA72CD"/>
    <w:rsid w:val="33D60225"/>
    <w:rsid w:val="350636F3"/>
    <w:rsid w:val="36231E45"/>
    <w:rsid w:val="3691571C"/>
    <w:rsid w:val="3A147C1A"/>
    <w:rsid w:val="3CB0790F"/>
    <w:rsid w:val="3D383A99"/>
    <w:rsid w:val="4B7574F6"/>
    <w:rsid w:val="5705571F"/>
    <w:rsid w:val="5A355549"/>
    <w:rsid w:val="5A3C5B53"/>
    <w:rsid w:val="5ED368FF"/>
    <w:rsid w:val="62C96930"/>
    <w:rsid w:val="638E47F4"/>
    <w:rsid w:val="650F33E9"/>
    <w:rsid w:val="65360E2A"/>
    <w:rsid w:val="66CE1D21"/>
    <w:rsid w:val="6C1C29E8"/>
    <w:rsid w:val="7DD75B09"/>
    <w:rsid w:val="7E3B7613"/>
    <w:rsid w:val="7F91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2020-10-26T13:50:00Z</dcterms:created>
  <dc:creator>刘先生</dc:creator>
  <cp:lastModifiedBy>Administrator</cp:lastModifiedBy>
  <dcterms:modified xsi:type="dcterms:W3CDTF">2020-11-19T16:04:21Z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