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spacing w:before="2"/>
        <w:rPr>
          <w:rFonts w:ascii="Times New Roman"/>
          <w:sz w:val="22"/>
        </w:rPr>
      </w:pPr>
    </w:p>
    <w:p>
      <w:pPr>
        <w:spacing w:before="28"/>
        <w:ind w:left="115" w:right="0" w:firstLine="0"/>
        <w:jc w:val="center"/>
        <w:rPr>
          <w:rFonts w:hint="eastAsia" w:ascii="黑体" w:eastAsia="黑体"/>
          <w:sz w:val="52"/>
        </w:rPr>
      </w:pPr>
      <w:r>
        <w:rPr>
          <w:rFonts w:hint="eastAsia" w:ascii="黑体" w:eastAsia="黑体"/>
          <w:sz w:val="52"/>
        </w:rPr>
        <w:t>中共</w:t>
      </w:r>
      <w:r>
        <w:rPr>
          <w:rFonts w:hint="eastAsia" w:ascii="黑体" w:eastAsia="黑体"/>
          <w:sz w:val="52"/>
          <w:lang w:val="en-US" w:eastAsia="zh-CN"/>
        </w:rPr>
        <w:t>濮阳</w:t>
      </w:r>
      <w:r>
        <w:rPr>
          <w:rFonts w:hint="eastAsia" w:ascii="黑体" w:eastAsia="黑体"/>
          <w:sz w:val="52"/>
        </w:rPr>
        <w:t>县委政法委员会</w:t>
      </w:r>
    </w:p>
    <w:p>
      <w:pPr>
        <w:spacing w:before="284"/>
        <w:ind w:left="115" w:right="0" w:firstLine="0"/>
        <w:jc w:val="center"/>
        <w:rPr>
          <w:rFonts w:hint="eastAsia" w:ascii="黑体" w:eastAsia="黑体"/>
          <w:sz w:val="52"/>
        </w:rPr>
      </w:pPr>
      <w:r>
        <w:rPr>
          <w:rFonts w:hint="eastAsia" w:ascii="黑体" w:eastAsia="黑体"/>
          <w:sz w:val="52"/>
        </w:rPr>
        <w:t>201</w:t>
      </w:r>
      <w:r>
        <w:rPr>
          <w:rFonts w:hint="eastAsia" w:ascii="黑体" w:eastAsia="黑体"/>
          <w:sz w:val="52"/>
          <w:lang w:val="en-US" w:eastAsia="zh-CN"/>
        </w:rPr>
        <w:t>8</w:t>
      </w:r>
      <w:r>
        <w:rPr>
          <w:rFonts w:hint="eastAsia" w:ascii="黑体" w:eastAsia="黑体"/>
          <w:sz w:val="52"/>
        </w:rPr>
        <w:t xml:space="preserve"> 年度部门决算</w:t>
      </w:r>
    </w:p>
    <w:p>
      <w:pPr>
        <w:pStyle w:val="5"/>
        <w:rPr>
          <w:rFonts w:ascii="黑体"/>
          <w:sz w:val="52"/>
        </w:rPr>
      </w:pPr>
    </w:p>
    <w:p>
      <w:pPr>
        <w:pStyle w:val="5"/>
        <w:rPr>
          <w:rFonts w:ascii="黑体"/>
          <w:sz w:val="52"/>
        </w:rPr>
      </w:pPr>
    </w:p>
    <w:p>
      <w:pPr>
        <w:pStyle w:val="5"/>
        <w:rPr>
          <w:rFonts w:ascii="黑体"/>
          <w:sz w:val="52"/>
        </w:rPr>
      </w:pPr>
    </w:p>
    <w:p>
      <w:pPr>
        <w:pStyle w:val="5"/>
        <w:rPr>
          <w:rFonts w:ascii="黑体"/>
          <w:sz w:val="52"/>
        </w:rPr>
      </w:pPr>
    </w:p>
    <w:p>
      <w:pPr>
        <w:pStyle w:val="5"/>
        <w:rPr>
          <w:rFonts w:ascii="黑体"/>
          <w:sz w:val="52"/>
        </w:rPr>
      </w:pPr>
    </w:p>
    <w:p>
      <w:pPr>
        <w:pStyle w:val="5"/>
        <w:rPr>
          <w:rFonts w:ascii="黑体"/>
          <w:sz w:val="52"/>
        </w:rPr>
      </w:pPr>
    </w:p>
    <w:p>
      <w:pPr>
        <w:pStyle w:val="5"/>
        <w:rPr>
          <w:rFonts w:ascii="黑体"/>
          <w:sz w:val="52"/>
        </w:rPr>
      </w:pPr>
    </w:p>
    <w:p>
      <w:pPr>
        <w:pStyle w:val="5"/>
        <w:rPr>
          <w:rFonts w:ascii="黑体"/>
          <w:sz w:val="52"/>
        </w:rPr>
      </w:pPr>
    </w:p>
    <w:p>
      <w:pPr>
        <w:pStyle w:val="5"/>
        <w:spacing w:before="3"/>
        <w:rPr>
          <w:rFonts w:ascii="黑体"/>
          <w:sz w:val="49"/>
        </w:rPr>
      </w:pPr>
    </w:p>
    <w:p>
      <w:pPr>
        <w:pStyle w:val="5"/>
        <w:ind w:left="112"/>
        <w:jc w:val="center"/>
        <w:rPr>
          <w:rFonts w:hint="eastAsia" w:ascii="黑体" w:eastAsia="黑体"/>
        </w:rPr>
      </w:pPr>
      <w:r>
        <w:rPr>
          <w:rFonts w:hint="eastAsia" w:ascii="黑体" w:eastAsia="黑体"/>
        </w:rPr>
        <w:t>二〇一</w:t>
      </w:r>
      <w:r>
        <w:rPr>
          <w:rFonts w:hint="eastAsia" w:ascii="黑体" w:eastAsia="黑体"/>
          <w:lang w:val="en-US" w:eastAsia="zh-CN"/>
        </w:rPr>
        <w:t>九</w:t>
      </w:r>
      <w:r>
        <w:rPr>
          <w:rFonts w:hint="eastAsia" w:ascii="黑体" w:eastAsia="黑体"/>
        </w:rPr>
        <w:t>年十月</w:t>
      </w:r>
    </w:p>
    <w:p>
      <w:pPr>
        <w:spacing w:after="0"/>
        <w:jc w:val="center"/>
        <w:rPr>
          <w:rFonts w:hint="eastAsia" w:ascii="黑体" w:eastAsia="黑体"/>
        </w:rPr>
        <w:sectPr>
          <w:type w:val="continuous"/>
          <w:pgSz w:w="11910" w:h="16840"/>
          <w:pgMar w:top="1580" w:right="1540" w:bottom="280" w:left="1480" w:header="720" w:footer="720" w:gutter="0"/>
          <w:cols w:space="720" w:num="1"/>
        </w:sectPr>
      </w:pPr>
    </w:p>
    <w:p>
      <w:pPr>
        <w:tabs>
          <w:tab w:val="left" w:pos="1195"/>
        </w:tabs>
        <w:spacing w:before="27"/>
        <w:ind w:left="115" w:right="0" w:firstLine="0"/>
        <w:jc w:val="center"/>
        <w:rPr>
          <w:rFonts w:hint="eastAsia" w:ascii="黑体" w:eastAsia="黑体"/>
          <w:sz w:val="36"/>
        </w:rPr>
      </w:pPr>
      <w:r>
        <w:rPr>
          <w:rFonts w:hint="eastAsia" w:ascii="黑体" w:eastAsia="黑体"/>
          <w:sz w:val="36"/>
        </w:rPr>
        <w:t>目</w:t>
      </w:r>
      <w:r>
        <w:rPr>
          <w:rFonts w:hint="eastAsia" w:ascii="黑体" w:eastAsia="黑体"/>
          <w:sz w:val="36"/>
        </w:rPr>
        <w:tab/>
      </w:r>
      <w:r>
        <w:rPr>
          <w:rFonts w:hint="eastAsia" w:ascii="黑体" w:eastAsia="黑体"/>
          <w:sz w:val="36"/>
        </w:rPr>
        <w:t>录</w:t>
      </w:r>
    </w:p>
    <w:p>
      <w:pPr>
        <w:pStyle w:val="5"/>
        <w:tabs>
          <w:tab w:val="left" w:pos="2026"/>
        </w:tabs>
        <w:spacing w:before="200"/>
        <w:ind w:left="106"/>
        <w:rPr>
          <w:rFonts w:hint="eastAsia" w:ascii="黑体" w:eastAsia="黑体"/>
        </w:rPr>
      </w:pPr>
      <w:r>
        <w:rPr>
          <w:rFonts w:hint="eastAsia" w:ascii="黑体" w:eastAsia="黑体"/>
        </w:rPr>
        <w:t>第一部分</w:t>
      </w:r>
      <w:r>
        <w:rPr>
          <w:rFonts w:hint="eastAsia" w:ascii="黑体" w:eastAsia="黑体"/>
        </w:rPr>
        <w:tab/>
      </w:r>
      <w:r>
        <w:rPr>
          <w:rFonts w:hint="eastAsia" w:ascii="黑体" w:eastAsia="黑体"/>
          <w:lang w:val="en-US" w:eastAsia="zh-CN"/>
        </w:rPr>
        <w:t>濮阳</w:t>
      </w:r>
      <w:r>
        <w:rPr>
          <w:rFonts w:hint="eastAsia" w:ascii="黑体" w:eastAsia="黑体"/>
        </w:rPr>
        <w:t>县政法委概况</w:t>
      </w:r>
    </w:p>
    <w:p>
      <w:pPr>
        <w:pStyle w:val="5"/>
        <w:spacing w:before="224"/>
        <w:ind w:left="747"/>
      </w:pPr>
      <w:r>
        <w:t>一、主要职责</w:t>
      </w:r>
    </w:p>
    <w:p>
      <w:pPr>
        <w:pStyle w:val="5"/>
        <w:spacing w:before="223"/>
        <w:ind w:left="747"/>
      </w:pPr>
      <w:r>
        <w:t>二、部门决算单位构成</w:t>
      </w:r>
    </w:p>
    <w:p>
      <w:pPr>
        <w:pStyle w:val="5"/>
        <w:tabs>
          <w:tab w:val="left" w:pos="2026"/>
        </w:tabs>
        <w:spacing w:before="226"/>
        <w:ind w:left="106"/>
        <w:rPr>
          <w:rFonts w:hint="eastAsia" w:ascii="黑体" w:eastAsia="黑体"/>
        </w:rPr>
      </w:pPr>
      <w:r>
        <w:rPr>
          <w:rFonts w:hint="eastAsia" w:ascii="黑体" w:eastAsia="黑体"/>
        </w:rPr>
        <w:t>第二部分</w:t>
      </w:r>
      <w:r>
        <w:rPr>
          <w:rFonts w:hint="eastAsia" w:ascii="黑体" w:eastAsia="黑体"/>
        </w:rPr>
        <w:tab/>
      </w:r>
      <w:r>
        <w:rPr>
          <w:rFonts w:hint="eastAsia" w:ascii="黑体" w:eastAsia="黑体"/>
        </w:rPr>
        <w:t>201</w:t>
      </w:r>
      <w:r>
        <w:rPr>
          <w:rFonts w:hint="eastAsia" w:ascii="黑体" w:eastAsia="黑体"/>
          <w:lang w:val="en-US" w:eastAsia="zh-CN"/>
        </w:rPr>
        <w:t>8</w:t>
      </w:r>
      <w:r>
        <w:rPr>
          <w:rFonts w:hint="eastAsia" w:ascii="黑体" w:eastAsia="黑体"/>
          <w:spacing w:val="-81"/>
        </w:rPr>
        <w:t xml:space="preserve"> </w:t>
      </w:r>
      <w:r>
        <w:rPr>
          <w:rFonts w:hint="eastAsia" w:ascii="黑体" w:eastAsia="黑体"/>
        </w:rPr>
        <w:t>年度部门决算表</w:t>
      </w:r>
    </w:p>
    <w:p>
      <w:pPr>
        <w:pStyle w:val="5"/>
        <w:spacing w:before="224" w:line="372" w:lineRule="auto"/>
        <w:ind w:left="747" w:right="4937"/>
      </w:pPr>
      <w:r>
        <w:rPr>
          <w:spacing w:val="-2"/>
        </w:rPr>
        <w:t>一、收入支出决算总表</w:t>
      </w:r>
      <w:r>
        <w:t>二、收入决算表</w:t>
      </w:r>
    </w:p>
    <w:p>
      <w:pPr>
        <w:pStyle w:val="5"/>
        <w:spacing w:line="406" w:lineRule="exact"/>
        <w:ind w:left="747"/>
      </w:pPr>
      <w:r>
        <w:rPr>
          <w:w w:val="95"/>
        </w:rPr>
        <w:t>三、支出决算表</w:t>
      </w:r>
    </w:p>
    <w:p>
      <w:pPr>
        <w:pStyle w:val="5"/>
        <w:spacing w:before="223"/>
        <w:ind w:left="747"/>
      </w:pPr>
      <w:r>
        <w:t>四、财政拨款收入支出决算总表</w:t>
      </w:r>
    </w:p>
    <w:p>
      <w:pPr>
        <w:pStyle w:val="5"/>
        <w:spacing w:before="224"/>
        <w:ind w:left="747"/>
      </w:pPr>
      <w:r>
        <w:t>五、一般公共预算财政拨款支出决算表</w:t>
      </w:r>
    </w:p>
    <w:p>
      <w:pPr>
        <w:pStyle w:val="5"/>
        <w:spacing w:before="226"/>
        <w:ind w:left="747"/>
      </w:pPr>
      <w:r>
        <w:t>六、一般公共预算财政拨款基本支出决算表</w:t>
      </w:r>
    </w:p>
    <w:p>
      <w:pPr>
        <w:pStyle w:val="5"/>
        <w:spacing w:before="224" w:line="372" w:lineRule="auto"/>
        <w:ind w:left="747" w:right="778"/>
      </w:pPr>
      <w:r>
        <w:t>七、一般公共预算财政拨款“三公”经费支出决算表八、政府性基金预算财政拨款收入支出决算表</w:t>
      </w:r>
    </w:p>
    <w:p>
      <w:pPr>
        <w:pStyle w:val="5"/>
        <w:tabs>
          <w:tab w:val="left" w:pos="2026"/>
        </w:tabs>
        <w:spacing w:line="406" w:lineRule="exact"/>
        <w:ind w:left="106"/>
        <w:rPr>
          <w:rFonts w:hint="eastAsia" w:ascii="黑体" w:eastAsia="黑体"/>
        </w:rPr>
      </w:pPr>
      <w:r>
        <w:rPr>
          <w:rFonts w:hint="eastAsia" w:ascii="黑体" w:eastAsia="黑体"/>
        </w:rPr>
        <w:t>第三部分</w:t>
      </w:r>
      <w:r>
        <w:rPr>
          <w:rFonts w:hint="eastAsia" w:ascii="黑体" w:eastAsia="黑体"/>
        </w:rPr>
        <w:tab/>
      </w:r>
      <w:r>
        <w:rPr>
          <w:rFonts w:hint="eastAsia" w:ascii="黑体" w:eastAsia="黑体"/>
        </w:rPr>
        <w:t>201</w:t>
      </w:r>
      <w:r>
        <w:rPr>
          <w:rFonts w:hint="eastAsia" w:ascii="黑体" w:eastAsia="黑体"/>
          <w:lang w:val="en-US" w:eastAsia="zh-CN"/>
        </w:rPr>
        <w:t>8</w:t>
      </w:r>
      <w:r>
        <w:rPr>
          <w:rFonts w:hint="eastAsia" w:ascii="黑体" w:eastAsia="黑体"/>
          <w:spacing w:val="-81"/>
        </w:rPr>
        <w:t xml:space="preserve"> </w:t>
      </w:r>
      <w:r>
        <w:rPr>
          <w:rFonts w:hint="eastAsia" w:ascii="黑体" w:eastAsia="黑体"/>
        </w:rPr>
        <w:t>年度部门决算情况说明</w:t>
      </w:r>
    </w:p>
    <w:p>
      <w:pPr>
        <w:pStyle w:val="5"/>
        <w:spacing w:before="223" w:line="372" w:lineRule="auto"/>
        <w:ind w:left="747" w:right="3658"/>
      </w:pPr>
      <w:r>
        <w:rPr>
          <w:spacing w:val="-1"/>
        </w:rPr>
        <w:t>一、收入支出决算总体情况说明</w:t>
      </w:r>
      <w:r>
        <w:t>二、收入决算情况说明</w:t>
      </w:r>
    </w:p>
    <w:p>
      <w:pPr>
        <w:pStyle w:val="5"/>
        <w:spacing w:line="409" w:lineRule="exact"/>
        <w:ind w:left="747"/>
      </w:pPr>
      <w:r>
        <w:rPr>
          <w:w w:val="95"/>
        </w:rPr>
        <w:t>三、支出决算情况说明</w:t>
      </w:r>
    </w:p>
    <w:p>
      <w:pPr>
        <w:pStyle w:val="5"/>
        <w:spacing w:before="224"/>
        <w:ind w:left="747"/>
      </w:pPr>
      <w:r>
        <w:t>四、财政拨款收入支出决算总体情况说明</w:t>
      </w:r>
    </w:p>
    <w:p>
      <w:pPr>
        <w:pStyle w:val="5"/>
        <w:spacing w:before="223"/>
        <w:ind w:left="747"/>
      </w:pPr>
      <w:r>
        <w:t>五、一般公共预算财政拨款支出决算情况说明</w:t>
      </w:r>
    </w:p>
    <w:p>
      <w:pPr>
        <w:pStyle w:val="5"/>
        <w:spacing w:before="224"/>
        <w:ind w:left="747"/>
      </w:pPr>
      <w:r>
        <w:t>六、一般公共预算财政拨款基本支出决算情况说明</w:t>
      </w:r>
    </w:p>
    <w:p>
      <w:pPr>
        <w:pStyle w:val="5"/>
        <w:spacing w:before="224"/>
        <w:ind w:left="747"/>
      </w:pPr>
      <w:r>
        <w:t>七、一般公共预算财政拨款“三公”经费支出决算情况说</w:t>
      </w:r>
    </w:p>
    <w:p>
      <w:pPr>
        <w:pStyle w:val="5"/>
        <w:spacing w:before="2"/>
        <w:rPr>
          <w:sz w:val="13"/>
        </w:rPr>
      </w:pPr>
    </w:p>
    <w:p>
      <w:pPr>
        <w:pStyle w:val="5"/>
        <w:spacing w:before="55"/>
        <w:ind w:left="106"/>
      </w:pPr>
      <w:r>
        <w:rPr>
          <w:w w:val="99"/>
        </w:rPr>
        <w:t>明</w:t>
      </w:r>
    </w:p>
    <w:p>
      <w:pPr>
        <w:spacing w:after="0"/>
        <w:sectPr>
          <w:pgSz w:w="11910" w:h="16840"/>
          <w:pgMar w:top="1480" w:right="1540" w:bottom="280" w:left="1480" w:header="720" w:footer="720" w:gutter="0"/>
          <w:cols w:space="720" w:num="1"/>
        </w:sectPr>
      </w:pPr>
    </w:p>
    <w:p>
      <w:pPr>
        <w:pStyle w:val="5"/>
        <w:spacing w:before="35"/>
        <w:ind w:left="747"/>
      </w:pPr>
      <w:r>
        <w:t>八、预算绩效情况说明</w:t>
      </w:r>
    </w:p>
    <w:p>
      <w:pPr>
        <w:pStyle w:val="5"/>
        <w:spacing w:before="223" w:line="372" w:lineRule="auto"/>
        <w:ind w:left="747" w:right="1417"/>
      </w:pPr>
      <w:r>
        <w:t>九、政府性基金预算财政拨款支出决算情况说明十、机关运行经费支出情况说明</w:t>
      </w:r>
    </w:p>
    <w:p>
      <w:pPr>
        <w:pStyle w:val="5"/>
        <w:spacing w:line="372" w:lineRule="auto"/>
        <w:ind w:left="747" w:right="3977"/>
      </w:pPr>
      <w:r>
        <w:t>十一、政府采购支出情况说明十二、国有资产占用情况说明</w:t>
      </w:r>
    </w:p>
    <w:p>
      <w:pPr>
        <w:pStyle w:val="5"/>
        <w:tabs>
          <w:tab w:val="left" w:pos="2026"/>
        </w:tabs>
        <w:spacing w:line="409" w:lineRule="exact"/>
        <w:ind w:left="106"/>
        <w:rPr>
          <w:rFonts w:hint="eastAsia" w:ascii="黑体" w:eastAsia="黑体"/>
        </w:rPr>
      </w:pPr>
      <w:r>
        <w:rPr>
          <w:rFonts w:hint="eastAsia" w:ascii="黑体" w:eastAsia="黑体"/>
        </w:rPr>
        <w:t>第四部分</w:t>
      </w:r>
      <w:r>
        <w:rPr>
          <w:rFonts w:hint="eastAsia" w:ascii="黑体" w:eastAsia="黑体"/>
        </w:rPr>
        <w:tab/>
      </w:r>
      <w:r>
        <w:rPr>
          <w:rFonts w:hint="eastAsia" w:ascii="黑体" w:eastAsia="黑体"/>
        </w:rPr>
        <w:t>名词解释</w:t>
      </w:r>
    </w:p>
    <w:p>
      <w:pPr>
        <w:spacing w:after="0" w:line="409" w:lineRule="exact"/>
        <w:rPr>
          <w:rFonts w:hint="eastAsia" w:ascii="黑体" w:eastAsia="黑体"/>
        </w:rPr>
        <w:sectPr>
          <w:pgSz w:w="11910" w:h="16840"/>
          <w:pgMar w:top="1500" w:right="1540" w:bottom="280" w:left="1480" w:header="720" w:footer="720" w:gutter="0"/>
          <w:cols w:space="720" w:num="1"/>
        </w:sectPr>
      </w:pPr>
    </w:p>
    <w:p>
      <w:pPr>
        <w:pStyle w:val="5"/>
        <w:rPr>
          <w:rFonts w:ascii="黑体"/>
          <w:sz w:val="20"/>
        </w:rPr>
      </w:pPr>
    </w:p>
    <w:p>
      <w:pPr>
        <w:pStyle w:val="5"/>
        <w:rPr>
          <w:rFonts w:ascii="黑体"/>
          <w:sz w:val="20"/>
        </w:rPr>
      </w:pPr>
    </w:p>
    <w:p>
      <w:pPr>
        <w:pStyle w:val="5"/>
        <w:rPr>
          <w:rFonts w:ascii="黑体"/>
          <w:sz w:val="20"/>
        </w:rPr>
      </w:pPr>
    </w:p>
    <w:p>
      <w:pPr>
        <w:pStyle w:val="5"/>
        <w:rPr>
          <w:rFonts w:ascii="黑体"/>
          <w:sz w:val="20"/>
        </w:rPr>
      </w:pPr>
    </w:p>
    <w:p>
      <w:pPr>
        <w:pStyle w:val="5"/>
        <w:rPr>
          <w:rFonts w:ascii="黑体"/>
          <w:sz w:val="20"/>
        </w:rPr>
      </w:pPr>
    </w:p>
    <w:p>
      <w:pPr>
        <w:pStyle w:val="5"/>
        <w:rPr>
          <w:rFonts w:ascii="黑体"/>
          <w:sz w:val="20"/>
        </w:rPr>
      </w:pPr>
    </w:p>
    <w:p>
      <w:pPr>
        <w:pStyle w:val="5"/>
        <w:rPr>
          <w:rFonts w:ascii="黑体"/>
          <w:sz w:val="20"/>
        </w:rPr>
      </w:pPr>
    </w:p>
    <w:p>
      <w:pPr>
        <w:pStyle w:val="5"/>
        <w:rPr>
          <w:rFonts w:ascii="黑体"/>
          <w:sz w:val="20"/>
        </w:rPr>
      </w:pPr>
    </w:p>
    <w:p>
      <w:pPr>
        <w:pStyle w:val="5"/>
        <w:rPr>
          <w:rFonts w:ascii="黑体"/>
          <w:sz w:val="20"/>
        </w:rPr>
      </w:pPr>
    </w:p>
    <w:p>
      <w:pPr>
        <w:pStyle w:val="5"/>
        <w:rPr>
          <w:rFonts w:ascii="黑体"/>
          <w:sz w:val="20"/>
        </w:rPr>
      </w:pPr>
    </w:p>
    <w:p>
      <w:pPr>
        <w:pStyle w:val="5"/>
        <w:rPr>
          <w:rFonts w:ascii="黑体"/>
          <w:sz w:val="20"/>
        </w:rPr>
      </w:pPr>
    </w:p>
    <w:p>
      <w:pPr>
        <w:pStyle w:val="5"/>
        <w:rPr>
          <w:rFonts w:ascii="黑体"/>
          <w:sz w:val="20"/>
        </w:rPr>
      </w:pPr>
    </w:p>
    <w:p>
      <w:pPr>
        <w:pStyle w:val="5"/>
        <w:rPr>
          <w:rFonts w:ascii="黑体"/>
          <w:sz w:val="20"/>
        </w:rPr>
      </w:pPr>
    </w:p>
    <w:p>
      <w:pPr>
        <w:pStyle w:val="5"/>
        <w:rPr>
          <w:rFonts w:ascii="黑体"/>
          <w:sz w:val="20"/>
        </w:rPr>
      </w:pPr>
    </w:p>
    <w:p>
      <w:pPr>
        <w:pStyle w:val="5"/>
        <w:rPr>
          <w:rFonts w:ascii="黑体"/>
          <w:sz w:val="20"/>
        </w:rPr>
      </w:pPr>
    </w:p>
    <w:p>
      <w:pPr>
        <w:pStyle w:val="5"/>
        <w:spacing w:before="4"/>
        <w:rPr>
          <w:rFonts w:ascii="黑体"/>
          <w:sz w:val="26"/>
        </w:rPr>
      </w:pPr>
    </w:p>
    <w:p>
      <w:pPr>
        <w:pStyle w:val="2"/>
        <w:tabs>
          <w:tab w:val="left" w:pos="3991"/>
        </w:tabs>
        <w:ind w:left="1111"/>
        <w:jc w:val="left"/>
      </w:pPr>
      <w:r>
        <w:t>第一部分</w:t>
      </w:r>
      <w:r>
        <w:tab/>
      </w:r>
      <w:r>
        <w:rPr>
          <w:rFonts w:hint="eastAsia"/>
          <w:lang w:val="en-US" w:eastAsia="zh-CN"/>
        </w:rPr>
        <w:t>濮阳</w:t>
      </w:r>
      <w:r>
        <w:t>县政法委概况</w:t>
      </w:r>
    </w:p>
    <w:p>
      <w:pPr>
        <w:spacing w:after="0"/>
        <w:jc w:val="left"/>
        <w:sectPr>
          <w:pgSz w:w="11910" w:h="16840"/>
          <w:pgMar w:top="1580" w:right="1540" w:bottom="280" w:left="1480" w:header="720" w:footer="720" w:gutter="0"/>
          <w:cols w:space="720" w:num="1"/>
        </w:sectPr>
      </w:pPr>
    </w:p>
    <w:p>
      <w:pPr>
        <w:pStyle w:val="5"/>
        <w:spacing w:before="43"/>
        <w:ind w:left="960"/>
        <w:rPr>
          <w:rFonts w:hint="eastAsia" w:ascii="黑体" w:eastAsia="黑体"/>
        </w:rPr>
      </w:pPr>
      <w:r>
        <w:rPr>
          <w:rFonts w:hint="eastAsia" w:ascii="黑体" w:eastAsia="黑体"/>
        </w:rPr>
        <w:t>一、</w:t>
      </w:r>
      <w:r>
        <w:rPr>
          <w:rFonts w:hint="eastAsia" w:ascii="黑体" w:eastAsia="黑体"/>
          <w:lang w:val="en-US" w:eastAsia="zh-CN"/>
        </w:rPr>
        <w:t>濮阳</w:t>
      </w:r>
      <w:r>
        <w:rPr>
          <w:rFonts w:hint="eastAsia" w:ascii="黑体" w:eastAsia="黑体"/>
        </w:rPr>
        <w:t>县政法委主要职责</w:t>
      </w:r>
    </w:p>
    <w:p>
      <w:pPr>
        <w:pStyle w:val="5"/>
        <w:spacing w:before="190" w:line="350" w:lineRule="auto"/>
        <w:ind w:left="320" w:right="260" w:firstLine="640"/>
      </w:pPr>
      <w:r>
        <w:rPr>
          <w:w w:val="95"/>
        </w:rPr>
        <w:t>（一</w:t>
      </w:r>
      <w:r>
        <w:rPr>
          <w:spacing w:val="-3"/>
          <w:w w:val="95"/>
        </w:rPr>
        <w:t xml:space="preserve">）根据党的路线、方针、政策和县委的部署，统一 </w:t>
      </w:r>
      <w:r>
        <w:rPr>
          <w:spacing w:val="-3"/>
        </w:rPr>
        <w:t>政法各部门的思想和行动。</w:t>
      </w:r>
    </w:p>
    <w:p>
      <w:pPr>
        <w:pStyle w:val="5"/>
        <w:spacing w:before="3" w:line="350" w:lineRule="auto"/>
        <w:ind w:left="320" w:right="257" w:firstLine="640"/>
      </w:pPr>
      <w:r>
        <w:rPr>
          <w:w w:val="95"/>
        </w:rPr>
        <w:t>（二</w:t>
      </w:r>
      <w:r>
        <w:rPr>
          <w:spacing w:val="-5"/>
          <w:w w:val="95"/>
        </w:rPr>
        <w:t>）</w:t>
      </w:r>
      <w:r>
        <w:rPr>
          <w:spacing w:val="-1"/>
          <w:w w:val="95"/>
        </w:rPr>
        <w:t xml:space="preserve">对一定时期内的政法工作作出全面部署，并督促 </w:t>
      </w:r>
      <w:r>
        <w:rPr>
          <w:spacing w:val="-1"/>
        </w:rPr>
        <w:t>贯彻落实。</w:t>
      </w:r>
    </w:p>
    <w:p>
      <w:pPr>
        <w:pStyle w:val="5"/>
        <w:spacing w:before="2" w:line="350" w:lineRule="auto"/>
        <w:ind w:left="320" w:right="187" w:firstLine="640"/>
      </w:pPr>
      <w:r>
        <w:t>（三）检查政法部门执行法律、法律和党的方针/政策</w:t>
      </w:r>
      <w:r>
        <w:rPr>
          <w:w w:val="95"/>
        </w:rPr>
        <w:t xml:space="preserve">情况，结合实际，研究制定严肃执法、落实党的方针、政策 </w:t>
      </w:r>
      <w:r>
        <w:t>的具体措施。</w:t>
      </w:r>
    </w:p>
    <w:p>
      <w:pPr>
        <w:pStyle w:val="5"/>
        <w:spacing w:before="4" w:line="350" w:lineRule="auto"/>
        <w:ind w:left="320" w:right="260" w:firstLine="640"/>
        <w:jc w:val="both"/>
      </w:pPr>
      <w:r>
        <w:t>（四</w:t>
      </w:r>
      <w:r>
        <w:rPr>
          <w:spacing w:val="-5"/>
        </w:rPr>
        <w:t>）</w:t>
      </w:r>
      <w:r>
        <w:rPr>
          <w:spacing w:val="-2"/>
        </w:rPr>
        <w:t>监督政法各部分依法行使职权，指导和协调政法</w:t>
      </w:r>
      <w:r>
        <w:rPr>
          <w:spacing w:val="-3"/>
        </w:rPr>
        <w:t>各部门密切配合，督促推动大案要案的查处工作，研究和讨</w:t>
      </w:r>
      <w:r>
        <w:t>论有争议的重大、疑难案件。</w:t>
      </w:r>
    </w:p>
    <w:p>
      <w:pPr>
        <w:pStyle w:val="5"/>
        <w:spacing w:before="5" w:line="350" w:lineRule="auto"/>
        <w:ind w:left="320" w:right="214" w:firstLine="640"/>
      </w:pPr>
      <w:r>
        <w:t>（五）组织协调全县社会治安综合治理和维护社会稳定工作，推动各项措施落实。</w:t>
      </w:r>
    </w:p>
    <w:p>
      <w:pPr>
        <w:pStyle w:val="5"/>
        <w:spacing w:before="2"/>
        <w:ind w:left="960"/>
      </w:pPr>
      <w:r>
        <w:t>（六）组织推动全县政法战线的调查研究工作。</w:t>
      </w:r>
    </w:p>
    <w:p>
      <w:pPr>
        <w:pStyle w:val="5"/>
        <w:spacing w:before="190"/>
        <w:ind w:left="960"/>
      </w:pPr>
      <w:r>
        <w:t>（七）指导各乡镇综治办工作。</w:t>
      </w:r>
    </w:p>
    <w:p>
      <w:pPr>
        <w:pStyle w:val="5"/>
        <w:spacing w:before="190" w:line="350" w:lineRule="auto"/>
        <w:ind w:left="320" w:right="406" w:firstLine="640"/>
      </w:pPr>
      <w:r>
        <w:rPr>
          <w:w w:val="95"/>
        </w:rPr>
        <w:t xml:space="preserve">(八）完成市委政法委、市社会治安综合治理委员会办 </w:t>
      </w:r>
      <w:r>
        <w:t>公室和县委、县政府交办的其他事项。</w:t>
      </w:r>
    </w:p>
    <w:p>
      <w:pPr>
        <w:pStyle w:val="5"/>
        <w:spacing w:before="3"/>
        <w:ind w:left="960"/>
        <w:rPr>
          <w:rFonts w:hint="eastAsia" w:ascii="黑体" w:eastAsia="黑体"/>
        </w:rPr>
      </w:pPr>
      <w:r>
        <w:rPr>
          <w:rFonts w:hint="eastAsia" w:ascii="黑体" w:eastAsia="黑体"/>
        </w:rPr>
        <w:t>二、机构设置</w:t>
      </w:r>
    </w:p>
    <w:p>
      <w:pPr>
        <w:spacing w:after="0"/>
      </w:pPr>
      <w:bookmarkStart w:id="0" w:name="县委政法委内设机构8个，分别为办公室、政治部、县综治办、县委维稳办、县委防范办、"/>
      <w:bookmarkEnd w:id="0"/>
    </w:p>
    <w:p>
      <w:pPr>
        <w:pStyle w:val="11"/>
        <w:shd w:val="clear" w:color="auto" w:fill="FFFFFF"/>
        <w:spacing w:line="480" w:lineRule="auto"/>
        <w:rPr>
          <w:rFonts w:hint="eastAsia" w:asciiTheme="minorEastAsia" w:hAnsiTheme="minorEastAsia" w:eastAsiaTheme="minorEastAsia" w:cstheme="minorEastAsia"/>
          <w:b/>
          <w:bCs/>
          <w:color w:val="333333"/>
          <w:sz w:val="32"/>
          <w:szCs w:val="32"/>
          <w:lang w:val="en-US" w:eastAsia="zh-CN"/>
        </w:rPr>
      </w:pPr>
      <w:r>
        <w:rPr>
          <w:rFonts w:hint="eastAsia" w:asciiTheme="minorEastAsia" w:hAnsiTheme="minorEastAsia" w:eastAsiaTheme="minorEastAsia" w:cstheme="minorEastAsia"/>
          <w:b/>
          <w:bCs/>
          <w:color w:val="333333"/>
          <w:sz w:val="32"/>
          <w:szCs w:val="32"/>
          <w:lang w:val="en-US" w:eastAsia="zh-CN"/>
        </w:rPr>
        <w:t xml:space="preserve"> 根据职责，政法委内设机构5个：</w:t>
      </w:r>
    </w:p>
    <w:p>
      <w:pPr>
        <w:pStyle w:val="11"/>
        <w:keepNext w:val="0"/>
        <w:keepLines w:val="0"/>
        <w:pageBreakBefore w:val="0"/>
        <w:widowControl/>
        <w:shd w:val="clear" w:color="auto" w:fill="FFFFFF"/>
        <w:kinsoku/>
        <w:wordWrap/>
        <w:overflowPunct/>
        <w:topLinePunct w:val="0"/>
        <w:autoSpaceDE/>
        <w:autoSpaceDN/>
        <w:bidi w:val="0"/>
        <w:adjustRightInd/>
        <w:snapToGrid/>
        <w:spacing w:line="360" w:lineRule="auto"/>
        <w:ind w:right="0" w:rightChars="0" w:firstLine="0" w:firstLineChars="0"/>
        <w:jc w:val="left"/>
        <w:textAlignment w:val="auto"/>
        <w:outlineLvl w:val="9"/>
        <w:rPr>
          <w:rFonts w:hint="eastAsia" w:asciiTheme="minorEastAsia" w:hAnsiTheme="minorEastAsia" w:eastAsiaTheme="minorEastAsia" w:cstheme="minorEastAsia"/>
          <w:color w:val="333333"/>
          <w:sz w:val="32"/>
          <w:szCs w:val="32"/>
        </w:rPr>
      </w:pPr>
      <w:r>
        <w:rPr>
          <w:rFonts w:hint="eastAsia" w:asciiTheme="minorEastAsia" w:hAnsiTheme="minorEastAsia" w:eastAsiaTheme="minorEastAsia" w:cstheme="minorEastAsia"/>
          <w:color w:val="333333"/>
          <w:sz w:val="32"/>
          <w:szCs w:val="32"/>
          <w:lang w:val="en-US" w:eastAsia="zh-CN"/>
        </w:rPr>
        <w:t xml:space="preserve">    1.</w:t>
      </w:r>
      <w:r>
        <w:rPr>
          <w:rFonts w:hint="eastAsia" w:asciiTheme="minorEastAsia" w:hAnsiTheme="minorEastAsia" w:eastAsiaTheme="minorEastAsia" w:cstheme="minorEastAsia"/>
          <w:color w:val="333333"/>
          <w:sz w:val="32"/>
          <w:szCs w:val="32"/>
        </w:rPr>
        <w:t>办公室</w:t>
      </w:r>
      <w:r>
        <w:rPr>
          <w:rFonts w:hint="eastAsia" w:asciiTheme="minorEastAsia" w:hAnsiTheme="minorEastAsia" w:eastAsiaTheme="minorEastAsia" w:cstheme="minorEastAsia"/>
          <w:color w:val="333333"/>
          <w:sz w:val="32"/>
          <w:szCs w:val="32"/>
          <w:lang w:eastAsia="zh-CN"/>
        </w:rPr>
        <w:t>：</w:t>
      </w:r>
      <w:r>
        <w:rPr>
          <w:rFonts w:hint="eastAsia" w:asciiTheme="minorEastAsia" w:hAnsiTheme="minorEastAsia" w:eastAsiaTheme="minorEastAsia" w:cstheme="minorEastAsia"/>
          <w:color w:val="333333"/>
          <w:sz w:val="32"/>
          <w:szCs w:val="32"/>
        </w:rPr>
        <w:t>负责文字综合、信息、会务组织、文电处理、督办检查工作；协调各科室的有关业务工作；主管信访、机要、文印、文书档案和保密等工作；负责财务、公产、后勤服务等行政管理工作；负责精神文明建设、政务公开、计划生育和本部门社会治安综合治理工作。</w:t>
      </w:r>
    </w:p>
    <w:p>
      <w:pPr>
        <w:pStyle w:val="11"/>
        <w:keepNext w:val="0"/>
        <w:keepLines w:val="0"/>
        <w:pageBreakBefore w:val="0"/>
        <w:widowControl/>
        <w:shd w:val="clear" w:color="auto" w:fill="FFFFFF"/>
        <w:kinsoku/>
        <w:wordWrap/>
        <w:overflowPunct/>
        <w:topLinePunct w:val="0"/>
        <w:autoSpaceDE/>
        <w:autoSpaceDN/>
        <w:bidi w:val="0"/>
        <w:adjustRightInd/>
        <w:snapToGrid/>
        <w:spacing w:line="360" w:lineRule="auto"/>
        <w:ind w:right="0" w:rightChars="0" w:firstLine="0" w:firstLineChars="0"/>
        <w:jc w:val="left"/>
        <w:textAlignment w:val="auto"/>
        <w:outlineLvl w:val="9"/>
        <w:rPr>
          <w:rFonts w:hint="eastAsia" w:asciiTheme="minorEastAsia" w:hAnsiTheme="minorEastAsia" w:eastAsiaTheme="minorEastAsia" w:cstheme="minorEastAsia"/>
          <w:color w:val="333333"/>
          <w:sz w:val="32"/>
          <w:szCs w:val="32"/>
          <w:lang w:val="en-US" w:eastAsia="zh-CN"/>
        </w:rPr>
      </w:pPr>
      <w:r>
        <w:rPr>
          <w:rFonts w:hint="eastAsia" w:asciiTheme="minorEastAsia" w:hAnsiTheme="minorEastAsia" w:eastAsiaTheme="minorEastAsia" w:cstheme="minorEastAsia"/>
          <w:color w:val="333333"/>
          <w:sz w:val="32"/>
          <w:szCs w:val="32"/>
          <w:lang w:val="en-US" w:eastAsia="zh-CN"/>
        </w:rPr>
        <w:t xml:space="preserve">   2.政治处：组织全县政法队伍的党风建设、廉政建设和教育培训工作；研究拟定加强政法部门领导班子建设的措施，按照干部管理权限，协助考察县委管理部门的政法部门领导干部，考察、管理政法系统股级干部；负责机关人事、机关机构编制和党务工作。</w:t>
      </w:r>
    </w:p>
    <w:p>
      <w:pPr>
        <w:pStyle w:val="11"/>
        <w:keepNext w:val="0"/>
        <w:keepLines w:val="0"/>
        <w:pageBreakBefore w:val="0"/>
        <w:widowControl/>
        <w:shd w:val="clear" w:color="auto" w:fill="FFFFFF"/>
        <w:kinsoku/>
        <w:wordWrap/>
        <w:overflowPunct/>
        <w:topLinePunct w:val="0"/>
        <w:autoSpaceDE/>
        <w:autoSpaceDN/>
        <w:bidi w:val="0"/>
        <w:adjustRightInd/>
        <w:snapToGrid/>
        <w:spacing w:line="360" w:lineRule="auto"/>
        <w:ind w:right="0" w:rightChars="0" w:firstLine="0" w:firstLineChars="0"/>
        <w:jc w:val="left"/>
        <w:textAlignment w:val="auto"/>
        <w:outlineLvl w:val="9"/>
        <w:rPr>
          <w:rFonts w:hint="eastAsia" w:asciiTheme="minorEastAsia" w:hAnsiTheme="minorEastAsia" w:eastAsiaTheme="minorEastAsia" w:cstheme="minorEastAsia"/>
          <w:color w:val="333333"/>
          <w:sz w:val="32"/>
          <w:szCs w:val="32"/>
        </w:rPr>
      </w:pPr>
      <w:r>
        <w:rPr>
          <w:rFonts w:hint="eastAsia" w:asciiTheme="minorEastAsia" w:hAnsiTheme="minorEastAsia" w:eastAsiaTheme="minorEastAsia" w:cstheme="minorEastAsia"/>
          <w:color w:val="333333"/>
          <w:sz w:val="32"/>
          <w:szCs w:val="32"/>
          <w:lang w:val="en-US" w:eastAsia="zh-CN"/>
        </w:rPr>
        <w:t xml:space="preserve">   3.协调</w:t>
      </w:r>
      <w:r>
        <w:rPr>
          <w:rFonts w:hint="eastAsia" w:asciiTheme="minorEastAsia" w:hAnsiTheme="minorEastAsia" w:eastAsiaTheme="minorEastAsia" w:cstheme="minorEastAsia"/>
          <w:color w:val="333333"/>
          <w:sz w:val="32"/>
          <w:szCs w:val="32"/>
        </w:rPr>
        <w:t>监督</w:t>
      </w:r>
      <w:r>
        <w:rPr>
          <w:rFonts w:hint="eastAsia" w:asciiTheme="minorEastAsia" w:hAnsiTheme="minorEastAsia" w:eastAsiaTheme="minorEastAsia" w:cstheme="minorEastAsia"/>
          <w:color w:val="333333"/>
          <w:sz w:val="32"/>
          <w:szCs w:val="32"/>
          <w:lang w:eastAsia="zh-CN"/>
        </w:rPr>
        <w:t>室：</w:t>
      </w:r>
      <w:r>
        <w:rPr>
          <w:rFonts w:hint="eastAsia" w:asciiTheme="minorEastAsia" w:hAnsiTheme="minorEastAsia" w:eastAsiaTheme="minorEastAsia" w:cstheme="minorEastAsia"/>
          <w:color w:val="333333"/>
          <w:sz w:val="32"/>
          <w:szCs w:val="32"/>
        </w:rPr>
        <w:t>督促检查政法各部门执行国家法律法规的情况，研究制定严肃执行和加强执法监督的具体措施，督促政法委员会协调的大案要案的办理，为政法委员会研究协调有争议的重大疑难案件做好准备和服务；负责人民群众来信来访工作。</w:t>
      </w:r>
    </w:p>
    <w:p>
      <w:pPr>
        <w:pStyle w:val="11"/>
        <w:keepNext w:val="0"/>
        <w:keepLines w:val="0"/>
        <w:pageBreakBefore w:val="0"/>
        <w:widowControl/>
        <w:shd w:val="clear" w:color="auto" w:fill="FFFFFF"/>
        <w:kinsoku/>
        <w:wordWrap/>
        <w:overflowPunct/>
        <w:topLinePunct w:val="0"/>
        <w:autoSpaceDE/>
        <w:autoSpaceDN/>
        <w:bidi w:val="0"/>
        <w:adjustRightInd/>
        <w:snapToGrid/>
        <w:spacing w:line="360" w:lineRule="auto"/>
        <w:ind w:right="0" w:rightChars="0" w:firstLine="0" w:firstLineChars="0"/>
        <w:jc w:val="left"/>
        <w:textAlignment w:val="auto"/>
        <w:outlineLvl w:val="9"/>
        <w:rPr>
          <w:rFonts w:hint="eastAsia" w:asciiTheme="minorEastAsia" w:hAnsiTheme="minorEastAsia" w:eastAsiaTheme="minorEastAsia" w:cstheme="minorEastAsia"/>
          <w:color w:val="333333"/>
          <w:sz w:val="32"/>
          <w:szCs w:val="32"/>
        </w:rPr>
      </w:pPr>
      <w:r>
        <w:rPr>
          <w:rFonts w:hint="eastAsia" w:asciiTheme="minorEastAsia" w:hAnsiTheme="minorEastAsia" w:eastAsiaTheme="minorEastAsia" w:cstheme="minorEastAsia"/>
          <w:color w:val="333333"/>
          <w:sz w:val="32"/>
          <w:szCs w:val="32"/>
          <w:lang w:val="en-US" w:eastAsia="zh-CN"/>
        </w:rPr>
        <w:t xml:space="preserve">   4.</w:t>
      </w:r>
      <w:r>
        <w:rPr>
          <w:rFonts w:hint="eastAsia" w:asciiTheme="minorEastAsia" w:hAnsiTheme="minorEastAsia" w:eastAsiaTheme="minorEastAsia" w:cstheme="minorEastAsia"/>
          <w:color w:val="333333"/>
          <w:sz w:val="32"/>
          <w:szCs w:val="32"/>
        </w:rPr>
        <w:t>维</w:t>
      </w:r>
      <w:r>
        <w:rPr>
          <w:rFonts w:hint="eastAsia" w:asciiTheme="minorEastAsia" w:hAnsiTheme="minorEastAsia" w:eastAsiaTheme="minorEastAsia" w:cstheme="minorEastAsia"/>
          <w:color w:val="333333"/>
          <w:sz w:val="32"/>
          <w:szCs w:val="32"/>
          <w:lang w:eastAsia="zh-CN"/>
        </w:rPr>
        <w:t>护稳定工作办公室：</w:t>
      </w:r>
      <w:r>
        <w:rPr>
          <w:rFonts w:hint="eastAsia" w:asciiTheme="minorEastAsia" w:hAnsiTheme="minorEastAsia" w:eastAsiaTheme="minorEastAsia" w:cstheme="minorEastAsia"/>
          <w:color w:val="333333"/>
          <w:sz w:val="32"/>
          <w:szCs w:val="32"/>
        </w:rPr>
        <w:t>调查、研究、制定和掌握全县维稳工作，为领导抓好全县的维稳工作提供科学、合理的决策依据。</w:t>
      </w:r>
    </w:p>
    <w:p>
      <w:pPr>
        <w:pStyle w:val="11"/>
        <w:keepNext w:val="0"/>
        <w:keepLines w:val="0"/>
        <w:pageBreakBefore w:val="0"/>
        <w:widowControl/>
        <w:shd w:val="clear" w:color="auto" w:fill="FFFFFF"/>
        <w:kinsoku/>
        <w:wordWrap/>
        <w:overflowPunct/>
        <w:topLinePunct w:val="0"/>
        <w:autoSpaceDE/>
        <w:autoSpaceDN/>
        <w:bidi w:val="0"/>
        <w:adjustRightInd/>
        <w:snapToGrid/>
        <w:spacing w:line="360" w:lineRule="auto"/>
        <w:ind w:right="0" w:rightChars="0" w:firstLine="0" w:firstLineChars="0"/>
        <w:jc w:val="left"/>
        <w:textAlignment w:val="auto"/>
        <w:outlineLvl w:val="9"/>
        <w:rPr>
          <w:rFonts w:hint="eastAsia" w:asciiTheme="minorEastAsia" w:hAnsiTheme="minorEastAsia" w:eastAsiaTheme="minorEastAsia" w:cstheme="minorEastAsia"/>
          <w:color w:val="333333"/>
          <w:sz w:val="32"/>
          <w:szCs w:val="32"/>
        </w:rPr>
      </w:pPr>
      <w:r>
        <w:rPr>
          <w:rFonts w:hint="eastAsia" w:asciiTheme="minorEastAsia" w:hAnsiTheme="minorEastAsia" w:eastAsiaTheme="minorEastAsia" w:cstheme="minorEastAsia"/>
          <w:color w:val="333333"/>
          <w:sz w:val="32"/>
          <w:szCs w:val="32"/>
          <w:lang w:val="en-US" w:eastAsia="zh-CN"/>
        </w:rPr>
        <w:t xml:space="preserve">   5.</w:t>
      </w:r>
      <w:r>
        <w:rPr>
          <w:rFonts w:hint="eastAsia" w:asciiTheme="minorEastAsia" w:hAnsiTheme="minorEastAsia" w:eastAsiaTheme="minorEastAsia" w:cstheme="minorEastAsia"/>
          <w:color w:val="333333"/>
          <w:sz w:val="32"/>
          <w:szCs w:val="32"/>
        </w:rPr>
        <w:t>综治办</w:t>
      </w:r>
      <w:r>
        <w:rPr>
          <w:rFonts w:hint="eastAsia" w:asciiTheme="minorEastAsia" w:hAnsiTheme="minorEastAsia" w:eastAsiaTheme="minorEastAsia" w:cstheme="minorEastAsia"/>
          <w:color w:val="333333"/>
          <w:sz w:val="32"/>
          <w:szCs w:val="32"/>
          <w:lang w:val="en-US" w:eastAsia="zh-CN"/>
        </w:rPr>
        <w:t>:</w:t>
      </w:r>
      <w:r>
        <w:rPr>
          <w:rFonts w:hint="eastAsia" w:asciiTheme="minorEastAsia" w:hAnsiTheme="minorEastAsia" w:eastAsiaTheme="minorEastAsia" w:cstheme="minorEastAsia"/>
          <w:color w:val="333333"/>
          <w:sz w:val="32"/>
          <w:szCs w:val="32"/>
        </w:rPr>
        <w:t>组织协调社会治安综合治理工作和有关重大活动，调查研究社会治安综合治理工作情况，收集信息、资料；提出制定政策措施的建议；负责综合治理工作的督促、检查和文件起草等工作；参与拟定综治工作规章，总结推广典型经验，提出奖惩建议。</w:t>
      </w:r>
    </w:p>
    <w:p>
      <w:pPr>
        <w:spacing w:line="0" w:lineRule="atLeast"/>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lang w:val="en-US" w:eastAsia="zh-CN"/>
        </w:rPr>
        <w:t xml:space="preserve">  </w:t>
      </w:r>
      <w:r>
        <w:rPr>
          <w:rFonts w:hint="eastAsia" w:asciiTheme="minorEastAsia" w:hAnsiTheme="minorEastAsia" w:eastAsiaTheme="minorEastAsia" w:cstheme="minorEastAsia"/>
          <w:b/>
          <w:bCs/>
          <w:sz w:val="32"/>
          <w:szCs w:val="32"/>
        </w:rPr>
        <w:t>二、部门决算单位构成</w:t>
      </w:r>
    </w:p>
    <w:p>
      <w:pPr>
        <w:spacing w:line="284" w:lineRule="exact"/>
        <w:rPr>
          <w:rFonts w:hint="eastAsia" w:asciiTheme="minorEastAsia" w:hAnsiTheme="minorEastAsia" w:eastAsiaTheme="minorEastAsia" w:cstheme="minorEastAsia"/>
          <w:b/>
          <w:bCs/>
          <w:sz w:val="32"/>
          <w:szCs w:val="32"/>
        </w:rPr>
      </w:pPr>
    </w:p>
    <w:p>
      <w:pPr>
        <w:keepNext w:val="0"/>
        <w:keepLines w:val="0"/>
        <w:pageBreakBefore w:val="0"/>
        <w:widowControl/>
        <w:kinsoku/>
        <w:wordWrap/>
        <w:overflowPunct/>
        <w:topLinePunct w:val="0"/>
        <w:autoSpaceDE/>
        <w:autoSpaceDN/>
        <w:bidi w:val="0"/>
        <w:adjustRightInd/>
        <w:snapToGrid/>
        <w:spacing w:before="0" w:beforeLines="0" w:after="0" w:afterLines="0"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sz w:val="32"/>
          <w:szCs w:val="32"/>
        </w:rPr>
        <w:sectPr>
          <w:pgSz w:w="11900" w:h="16838"/>
          <w:pgMar w:top="1440" w:right="1960" w:bottom="1440" w:left="1580" w:header="0" w:footer="0" w:gutter="0"/>
          <w:cols w:space="720" w:num="1"/>
          <w:docGrid w:linePitch="360" w:charSpace="0"/>
        </w:sectPr>
      </w:pP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纳入濮阳</w:t>
      </w:r>
      <w:r>
        <w:rPr>
          <w:rFonts w:hint="eastAsia" w:asciiTheme="minorEastAsia" w:hAnsiTheme="minorEastAsia" w:eastAsiaTheme="minorEastAsia" w:cstheme="minorEastAsia"/>
          <w:sz w:val="32"/>
          <w:szCs w:val="32"/>
          <w:lang w:eastAsia="zh-CN"/>
        </w:rPr>
        <w:t>县政法委</w:t>
      </w:r>
      <w:r>
        <w:rPr>
          <w:rFonts w:hint="eastAsia" w:asciiTheme="minorEastAsia" w:hAnsiTheme="minorEastAsia" w:eastAsiaTheme="minorEastAsia" w:cstheme="minorEastAsia"/>
          <w:sz w:val="32"/>
          <w:szCs w:val="32"/>
        </w:rPr>
        <w:t>20</w:t>
      </w:r>
      <w:r>
        <w:rPr>
          <w:rFonts w:hint="eastAsia" w:asciiTheme="minorEastAsia" w:hAnsiTheme="minorEastAsia" w:eastAsiaTheme="minorEastAsia" w:cstheme="minorEastAsia"/>
          <w:sz w:val="32"/>
          <w:szCs w:val="32"/>
          <w:lang w:val="en-US" w:eastAsia="zh-CN"/>
        </w:rPr>
        <w:t>18</w:t>
      </w:r>
      <w:r>
        <w:rPr>
          <w:rFonts w:hint="eastAsia" w:asciiTheme="minorEastAsia" w:hAnsiTheme="minorEastAsia" w:eastAsiaTheme="minorEastAsia" w:cstheme="minorEastAsia"/>
          <w:sz w:val="32"/>
          <w:szCs w:val="32"/>
        </w:rPr>
        <w:t xml:space="preserve"> 年度部门决算编制范围的单位包括：濮阳县</w:t>
      </w:r>
      <w:r>
        <w:rPr>
          <w:rFonts w:hint="eastAsia" w:asciiTheme="minorEastAsia" w:hAnsiTheme="minorEastAsia" w:eastAsiaTheme="minorEastAsia" w:cstheme="minorEastAsia"/>
          <w:sz w:val="32"/>
          <w:szCs w:val="32"/>
          <w:lang w:eastAsia="zh-CN"/>
        </w:rPr>
        <w:t>政法委</w:t>
      </w:r>
      <w:r>
        <w:rPr>
          <w:rFonts w:hint="eastAsia" w:asciiTheme="minorEastAsia" w:hAnsiTheme="minorEastAsia" w:eastAsiaTheme="minorEastAsia" w:cstheme="minorEastAsia"/>
          <w:sz w:val="32"/>
          <w:szCs w:val="32"/>
        </w:rPr>
        <w:t>本级</w:t>
      </w:r>
      <w:r>
        <w:rPr>
          <w:rFonts w:hint="eastAsia" w:asciiTheme="minorEastAsia" w:hAnsiTheme="minorEastAsia" w:eastAsiaTheme="minorEastAsia" w:cstheme="minorEastAsia"/>
          <w:sz w:val="32"/>
          <w:szCs w:val="32"/>
          <w:lang w:val="en-US" w:eastAsia="zh-CN"/>
        </w:rPr>
        <w:t>.</w:t>
      </w:r>
      <w:r>
        <w:rPr>
          <w:rFonts w:hint="eastAsia" w:asciiTheme="minorEastAsia" w:hAnsiTheme="minorEastAsia" w:eastAsiaTheme="minorEastAsia" w:cstheme="minorEastAsia"/>
          <w:color w:val="000000"/>
          <w:sz w:val="32"/>
          <w:szCs w:val="32"/>
          <w:lang w:eastAsia="zh-CN"/>
        </w:rPr>
        <w:t>我单位没有下属二级预算单位，本级决算即汇总决</w:t>
      </w: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spacing w:before="4"/>
        <w:rPr>
          <w:sz w:val="26"/>
        </w:rPr>
      </w:pPr>
    </w:p>
    <w:p>
      <w:pPr>
        <w:pStyle w:val="2"/>
      </w:pPr>
      <w:r>
        <w:t>第二部分</w:t>
      </w:r>
    </w:p>
    <w:p>
      <w:pPr>
        <w:spacing w:before="9"/>
        <w:ind w:left="58" w:right="0" w:firstLine="0"/>
        <w:jc w:val="center"/>
        <w:rPr>
          <w:rFonts w:hint="eastAsia" w:ascii="黑体" w:eastAsia="黑体"/>
          <w:sz w:val="48"/>
        </w:rPr>
      </w:pPr>
      <w:r>
        <w:rPr>
          <w:rFonts w:hint="eastAsia" w:ascii="黑体" w:eastAsia="黑体"/>
          <w:sz w:val="48"/>
        </w:rPr>
        <w:t>201</w:t>
      </w:r>
      <w:r>
        <w:rPr>
          <w:rFonts w:hint="eastAsia" w:ascii="黑体" w:eastAsia="黑体"/>
          <w:sz w:val="48"/>
          <w:lang w:val="en-US" w:eastAsia="zh-CN"/>
        </w:rPr>
        <w:t>8</w:t>
      </w:r>
      <w:r>
        <w:rPr>
          <w:rFonts w:hint="eastAsia" w:ascii="黑体" w:eastAsia="黑体"/>
          <w:sz w:val="48"/>
        </w:rPr>
        <w:t xml:space="preserve"> 年度部门决算表</w:t>
      </w:r>
    </w:p>
    <w:p>
      <w:pPr>
        <w:spacing w:after="0"/>
        <w:jc w:val="center"/>
        <w:rPr>
          <w:rFonts w:hint="eastAsia" w:ascii="黑体" w:eastAsia="黑体"/>
          <w:sz w:val="48"/>
        </w:rPr>
        <w:sectPr>
          <w:pgSz w:w="11910" w:h="16840"/>
          <w:pgMar w:top="1580" w:right="1540" w:bottom="280" w:left="1480" w:header="720" w:footer="720" w:gutter="0"/>
          <w:cols w:space="720" w:num="1"/>
        </w:sectPr>
      </w:pPr>
    </w:p>
    <w:p>
      <w:pPr>
        <w:spacing w:before="58"/>
        <w:ind w:right="3893"/>
        <w:jc w:val="both"/>
        <w:rPr>
          <w:rFonts w:hint="eastAsia" w:ascii="黑体" w:eastAsia="黑体"/>
          <w:sz w:val="30"/>
        </w:rPr>
      </w:pPr>
    </w:p>
    <w:p>
      <w:pPr>
        <w:pStyle w:val="5"/>
        <w:rPr>
          <w:sz w:val="20"/>
        </w:rPr>
      </w:pPr>
    </w:p>
    <w:p>
      <w:pPr>
        <w:pStyle w:val="5"/>
        <w:spacing w:before="2"/>
        <w:rPr>
          <w:sz w:val="20"/>
        </w:rPr>
      </w:pPr>
    </w:p>
    <w:tbl>
      <w:tblPr>
        <w:tblStyle w:val="6"/>
        <w:tblW w:w="14070" w:type="dxa"/>
        <w:tblInd w:w="0" w:type="dxa"/>
        <w:shd w:val="clear" w:color="auto" w:fill="auto"/>
        <w:tblLayout w:type="fixed"/>
        <w:tblCellMar>
          <w:top w:w="0" w:type="dxa"/>
          <w:left w:w="0" w:type="dxa"/>
          <w:bottom w:w="0" w:type="dxa"/>
          <w:right w:w="0" w:type="dxa"/>
        </w:tblCellMar>
      </w:tblPr>
      <w:tblGrid>
        <w:gridCol w:w="4535"/>
        <w:gridCol w:w="753"/>
        <w:gridCol w:w="1106"/>
        <w:gridCol w:w="4631"/>
        <w:gridCol w:w="753"/>
        <w:gridCol w:w="2292"/>
      </w:tblGrid>
      <w:tr>
        <w:tblPrEx>
          <w:shd w:val="clear" w:color="auto" w:fill="auto"/>
          <w:tblCellMar>
            <w:top w:w="0" w:type="dxa"/>
            <w:left w:w="0" w:type="dxa"/>
            <w:bottom w:w="0" w:type="dxa"/>
            <w:right w:w="0" w:type="dxa"/>
          </w:tblCellMar>
        </w:tblPrEx>
        <w:trPr>
          <w:trHeight w:val="390" w:hRule="atLeast"/>
        </w:trPr>
        <w:tc>
          <w:tcPr>
            <w:tcW w:w="14070" w:type="dxa"/>
            <w:gridSpan w:val="6"/>
            <w:tcBorders>
              <w:top w:val="nil"/>
              <w:left w:val="nil"/>
              <w:bottom w:val="nil"/>
              <w:right w:val="nil"/>
            </w:tcBorders>
            <w:shd w:val="clear" w:color="auto" w:fill="FFFFFF"/>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收入支出决算总表</w:t>
            </w:r>
          </w:p>
        </w:tc>
      </w:tr>
      <w:tr>
        <w:tblPrEx>
          <w:tblCellMar>
            <w:top w:w="0" w:type="dxa"/>
            <w:left w:w="0" w:type="dxa"/>
            <w:bottom w:w="0" w:type="dxa"/>
            <w:right w:w="0" w:type="dxa"/>
          </w:tblCellMar>
        </w:tblPrEx>
        <w:trPr>
          <w:trHeight w:val="255" w:hRule="atLeast"/>
        </w:trPr>
        <w:tc>
          <w:tcPr>
            <w:tcW w:w="14070" w:type="dxa"/>
            <w:gridSpan w:val="6"/>
            <w:tcBorders>
              <w:top w:val="nil"/>
              <w:left w:val="nil"/>
              <w:bottom w:val="nil"/>
              <w:right w:val="nil"/>
            </w:tcBorders>
            <w:shd w:val="clear" w:color="auto" w:fill="FFFFFF"/>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公开01表</w:t>
            </w:r>
          </w:p>
        </w:tc>
      </w:tr>
      <w:tr>
        <w:tblPrEx>
          <w:tblCellMar>
            <w:top w:w="0" w:type="dxa"/>
            <w:left w:w="0" w:type="dxa"/>
            <w:bottom w:w="0" w:type="dxa"/>
            <w:right w:w="0" w:type="dxa"/>
          </w:tblCellMar>
        </w:tblPrEx>
        <w:trPr>
          <w:trHeight w:val="255" w:hRule="atLeast"/>
        </w:trPr>
        <w:tc>
          <w:tcPr>
            <w:tcW w:w="4535" w:type="dxa"/>
            <w:tcBorders>
              <w:top w:val="nil"/>
              <w:left w:val="nil"/>
              <w:bottom w:val="nil"/>
              <w:right w:val="nil"/>
            </w:tcBorders>
            <w:shd w:val="clear" w:color="auto" w:fill="FFFFFF"/>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部门：中共濮阳县委政法委员会</w:t>
            </w:r>
          </w:p>
        </w:tc>
        <w:tc>
          <w:tcPr>
            <w:tcW w:w="753" w:type="dxa"/>
            <w:tcBorders>
              <w:top w:val="nil"/>
              <w:left w:val="nil"/>
              <w:bottom w:val="nil"/>
              <w:right w:val="nil"/>
            </w:tcBorders>
            <w:shd w:val="clear" w:color="auto" w:fill="FFFFFF"/>
            <w:tcMar>
              <w:top w:w="15" w:type="dxa"/>
              <w:left w:w="15" w:type="dxa"/>
              <w:right w:w="15" w:type="dxa"/>
            </w:tcMar>
            <w:vAlign w:val="bottom"/>
          </w:tcPr>
          <w:p>
            <w:pPr>
              <w:rPr>
                <w:rFonts w:hint="eastAsia" w:ascii="Arial" w:hAnsi="Arial" w:cs="Arial"/>
                <w:i w:val="0"/>
                <w:color w:val="000000"/>
                <w:sz w:val="20"/>
                <w:szCs w:val="20"/>
                <w:u w:val="none"/>
              </w:rPr>
            </w:pPr>
          </w:p>
        </w:tc>
        <w:tc>
          <w:tcPr>
            <w:tcW w:w="1106" w:type="dxa"/>
            <w:tcBorders>
              <w:top w:val="nil"/>
              <w:left w:val="nil"/>
              <w:bottom w:val="nil"/>
              <w:right w:val="nil"/>
            </w:tcBorders>
            <w:shd w:val="clear" w:color="auto" w:fill="FFFFFF"/>
            <w:tcMar>
              <w:top w:w="15" w:type="dxa"/>
              <w:left w:w="15" w:type="dxa"/>
              <w:right w:w="15" w:type="dxa"/>
            </w:tcMar>
            <w:vAlign w:val="bottom"/>
          </w:tcPr>
          <w:p>
            <w:pPr>
              <w:rPr>
                <w:rFonts w:hint="default" w:ascii="Arial" w:hAnsi="Arial" w:cs="Arial"/>
                <w:i w:val="0"/>
                <w:color w:val="000000"/>
                <w:sz w:val="20"/>
                <w:szCs w:val="20"/>
                <w:u w:val="none"/>
              </w:rPr>
            </w:pPr>
          </w:p>
        </w:tc>
        <w:tc>
          <w:tcPr>
            <w:tcW w:w="4631" w:type="dxa"/>
            <w:tcBorders>
              <w:top w:val="nil"/>
              <w:left w:val="nil"/>
              <w:bottom w:val="nil"/>
              <w:right w:val="nil"/>
            </w:tcBorders>
            <w:shd w:val="clear" w:color="auto" w:fill="FFFFFF"/>
            <w:tcMar>
              <w:top w:w="15" w:type="dxa"/>
              <w:left w:w="15" w:type="dxa"/>
              <w:right w:w="15" w:type="dxa"/>
            </w:tcMar>
            <w:vAlign w:val="bottom"/>
          </w:tcPr>
          <w:p>
            <w:pPr>
              <w:rPr>
                <w:rFonts w:hint="default" w:ascii="Arial" w:hAnsi="Arial" w:cs="Arial"/>
                <w:i w:val="0"/>
                <w:color w:val="000000"/>
                <w:sz w:val="20"/>
                <w:szCs w:val="20"/>
                <w:u w:val="none"/>
              </w:rPr>
            </w:pPr>
          </w:p>
        </w:tc>
        <w:tc>
          <w:tcPr>
            <w:tcW w:w="753" w:type="dxa"/>
            <w:tcBorders>
              <w:top w:val="nil"/>
              <w:left w:val="nil"/>
              <w:bottom w:val="nil"/>
              <w:right w:val="nil"/>
            </w:tcBorders>
            <w:shd w:val="clear" w:color="auto" w:fill="FFFFFF"/>
            <w:tcMar>
              <w:top w:w="15" w:type="dxa"/>
              <w:left w:w="15" w:type="dxa"/>
              <w:right w:w="15" w:type="dxa"/>
            </w:tcMar>
            <w:vAlign w:val="bottom"/>
          </w:tcPr>
          <w:p>
            <w:pPr>
              <w:rPr>
                <w:rFonts w:hint="default" w:ascii="Arial" w:hAnsi="Arial" w:cs="Arial"/>
                <w:i w:val="0"/>
                <w:color w:val="000000"/>
                <w:sz w:val="20"/>
                <w:szCs w:val="20"/>
                <w:u w:val="none"/>
              </w:rPr>
            </w:pPr>
          </w:p>
        </w:tc>
        <w:tc>
          <w:tcPr>
            <w:tcW w:w="2292" w:type="dxa"/>
            <w:tcBorders>
              <w:top w:val="nil"/>
              <w:left w:val="nil"/>
              <w:bottom w:val="nil"/>
              <w:right w:val="nil"/>
            </w:tcBorders>
            <w:shd w:val="clear" w:color="auto" w:fill="FFFFFF"/>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trHeight w:val="308" w:hRule="atLeast"/>
        </w:trPr>
        <w:tc>
          <w:tcPr>
            <w:tcW w:w="6394"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收入</w:t>
            </w:r>
          </w:p>
        </w:tc>
        <w:tc>
          <w:tcPr>
            <w:tcW w:w="7676" w:type="dxa"/>
            <w:gridSpan w:val="3"/>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支出</w:t>
            </w:r>
          </w:p>
        </w:tc>
      </w:tr>
      <w:tr>
        <w:tblPrEx>
          <w:tblCellMar>
            <w:top w:w="0" w:type="dxa"/>
            <w:left w:w="0" w:type="dxa"/>
            <w:bottom w:w="0" w:type="dxa"/>
            <w:right w:w="0" w:type="dxa"/>
          </w:tblCellMar>
        </w:tblPrEx>
        <w:trPr>
          <w:trHeight w:val="308" w:hRule="atLeast"/>
        </w:trPr>
        <w:tc>
          <w:tcPr>
            <w:tcW w:w="4535" w:type="dxa"/>
            <w:tcBorders>
              <w:top w:val="nil"/>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753"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1106"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w:t>
            </w:r>
          </w:p>
        </w:tc>
        <w:tc>
          <w:tcPr>
            <w:tcW w:w="4631"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753"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2292"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w:t>
            </w:r>
          </w:p>
        </w:tc>
      </w:tr>
      <w:tr>
        <w:tblPrEx>
          <w:tblCellMar>
            <w:top w:w="0" w:type="dxa"/>
            <w:left w:w="0" w:type="dxa"/>
            <w:bottom w:w="0" w:type="dxa"/>
            <w:right w:w="0" w:type="dxa"/>
          </w:tblCellMar>
        </w:tblPrEx>
        <w:trPr>
          <w:trHeight w:val="308" w:hRule="atLeast"/>
        </w:trPr>
        <w:tc>
          <w:tcPr>
            <w:tcW w:w="4535" w:type="dxa"/>
            <w:tcBorders>
              <w:top w:val="nil"/>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753"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06"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4631"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753"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292"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r>
      <w:tr>
        <w:tblPrEx>
          <w:tblCellMar>
            <w:top w:w="0" w:type="dxa"/>
            <w:left w:w="0" w:type="dxa"/>
            <w:bottom w:w="0" w:type="dxa"/>
            <w:right w:w="0" w:type="dxa"/>
          </w:tblCellMar>
        </w:tblPrEx>
        <w:trPr>
          <w:trHeight w:val="308" w:hRule="atLeast"/>
        </w:trPr>
        <w:tc>
          <w:tcPr>
            <w:tcW w:w="4535" w:type="dxa"/>
            <w:tcBorders>
              <w:top w:val="nil"/>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一、财政拨款收入</w:t>
            </w:r>
          </w:p>
        </w:tc>
        <w:tc>
          <w:tcPr>
            <w:tcW w:w="753"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106"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623.43</w:t>
            </w:r>
          </w:p>
        </w:tc>
        <w:tc>
          <w:tcPr>
            <w:tcW w:w="4631"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一、一般公共服务支出</w:t>
            </w:r>
          </w:p>
        </w:tc>
        <w:tc>
          <w:tcPr>
            <w:tcW w:w="753"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c>
          <w:tcPr>
            <w:tcW w:w="229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588.57</w:t>
            </w:r>
          </w:p>
        </w:tc>
      </w:tr>
      <w:tr>
        <w:tblPrEx>
          <w:tblCellMar>
            <w:top w:w="0" w:type="dxa"/>
            <w:left w:w="0" w:type="dxa"/>
            <w:bottom w:w="0" w:type="dxa"/>
            <w:right w:w="0" w:type="dxa"/>
          </w:tblCellMar>
        </w:tblPrEx>
        <w:trPr>
          <w:trHeight w:val="308" w:hRule="atLeast"/>
        </w:trPr>
        <w:tc>
          <w:tcPr>
            <w:tcW w:w="4535" w:type="dxa"/>
            <w:tcBorders>
              <w:top w:val="nil"/>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二、上级补助收入</w:t>
            </w:r>
          </w:p>
        </w:tc>
        <w:tc>
          <w:tcPr>
            <w:tcW w:w="753"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106"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631"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二、外交支出</w:t>
            </w:r>
          </w:p>
        </w:tc>
        <w:tc>
          <w:tcPr>
            <w:tcW w:w="753"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w:t>
            </w:r>
          </w:p>
        </w:tc>
        <w:tc>
          <w:tcPr>
            <w:tcW w:w="229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4535" w:type="dxa"/>
            <w:tcBorders>
              <w:top w:val="nil"/>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三、事业收入</w:t>
            </w:r>
          </w:p>
        </w:tc>
        <w:tc>
          <w:tcPr>
            <w:tcW w:w="753"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106"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631"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三、国防支出</w:t>
            </w:r>
          </w:p>
        </w:tc>
        <w:tc>
          <w:tcPr>
            <w:tcW w:w="753"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229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4535" w:type="dxa"/>
            <w:tcBorders>
              <w:top w:val="nil"/>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四、经营收入</w:t>
            </w:r>
          </w:p>
        </w:tc>
        <w:tc>
          <w:tcPr>
            <w:tcW w:w="753"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106"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631"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四、公共安全支出</w:t>
            </w:r>
          </w:p>
        </w:tc>
        <w:tc>
          <w:tcPr>
            <w:tcW w:w="753"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w:t>
            </w:r>
          </w:p>
        </w:tc>
        <w:tc>
          <w:tcPr>
            <w:tcW w:w="229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4535" w:type="dxa"/>
            <w:tcBorders>
              <w:top w:val="nil"/>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五、附属单位上缴收入</w:t>
            </w:r>
          </w:p>
        </w:tc>
        <w:tc>
          <w:tcPr>
            <w:tcW w:w="753"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106"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631"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五、教育支出</w:t>
            </w:r>
          </w:p>
        </w:tc>
        <w:tc>
          <w:tcPr>
            <w:tcW w:w="753"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w:t>
            </w:r>
          </w:p>
        </w:tc>
        <w:tc>
          <w:tcPr>
            <w:tcW w:w="229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4535" w:type="dxa"/>
            <w:tcBorders>
              <w:top w:val="nil"/>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六、其他收入</w:t>
            </w:r>
          </w:p>
        </w:tc>
        <w:tc>
          <w:tcPr>
            <w:tcW w:w="753"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106"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631"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六、科学技术支出</w:t>
            </w:r>
          </w:p>
        </w:tc>
        <w:tc>
          <w:tcPr>
            <w:tcW w:w="753"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w:t>
            </w:r>
          </w:p>
        </w:tc>
        <w:tc>
          <w:tcPr>
            <w:tcW w:w="229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4535" w:type="dxa"/>
            <w:tcBorders>
              <w:top w:val="nil"/>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753"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1106"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631"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七、文化体育与传媒支出</w:t>
            </w:r>
          </w:p>
        </w:tc>
        <w:tc>
          <w:tcPr>
            <w:tcW w:w="753"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w:t>
            </w:r>
          </w:p>
        </w:tc>
        <w:tc>
          <w:tcPr>
            <w:tcW w:w="229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4535" w:type="dxa"/>
            <w:tcBorders>
              <w:top w:val="nil"/>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753"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1106"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631"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八、社会保障和就业支出</w:t>
            </w:r>
          </w:p>
        </w:tc>
        <w:tc>
          <w:tcPr>
            <w:tcW w:w="753"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w:t>
            </w:r>
          </w:p>
        </w:tc>
        <w:tc>
          <w:tcPr>
            <w:tcW w:w="229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25.48</w:t>
            </w:r>
          </w:p>
        </w:tc>
      </w:tr>
      <w:tr>
        <w:tblPrEx>
          <w:tblCellMar>
            <w:top w:w="0" w:type="dxa"/>
            <w:left w:w="0" w:type="dxa"/>
            <w:bottom w:w="0" w:type="dxa"/>
            <w:right w:w="0" w:type="dxa"/>
          </w:tblCellMar>
        </w:tblPrEx>
        <w:trPr>
          <w:trHeight w:val="308" w:hRule="atLeast"/>
        </w:trPr>
        <w:tc>
          <w:tcPr>
            <w:tcW w:w="4535" w:type="dxa"/>
            <w:tcBorders>
              <w:top w:val="nil"/>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753"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1106"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631"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九、医疗卫生与计划生育支出</w:t>
            </w:r>
          </w:p>
        </w:tc>
        <w:tc>
          <w:tcPr>
            <w:tcW w:w="753"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w:t>
            </w:r>
          </w:p>
        </w:tc>
        <w:tc>
          <w:tcPr>
            <w:tcW w:w="229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9.38</w:t>
            </w:r>
          </w:p>
        </w:tc>
      </w:tr>
      <w:tr>
        <w:tblPrEx>
          <w:tblCellMar>
            <w:top w:w="0" w:type="dxa"/>
            <w:left w:w="0" w:type="dxa"/>
            <w:bottom w:w="0" w:type="dxa"/>
            <w:right w:w="0" w:type="dxa"/>
          </w:tblCellMar>
        </w:tblPrEx>
        <w:trPr>
          <w:trHeight w:val="308" w:hRule="atLeast"/>
        </w:trPr>
        <w:tc>
          <w:tcPr>
            <w:tcW w:w="4535" w:type="dxa"/>
            <w:tcBorders>
              <w:top w:val="nil"/>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753"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1106"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631"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十、节能环保支出</w:t>
            </w:r>
          </w:p>
        </w:tc>
        <w:tc>
          <w:tcPr>
            <w:tcW w:w="753"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w:t>
            </w:r>
          </w:p>
        </w:tc>
        <w:tc>
          <w:tcPr>
            <w:tcW w:w="229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4535" w:type="dxa"/>
            <w:tcBorders>
              <w:top w:val="nil"/>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753"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1106"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631"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十一、城乡社区支出</w:t>
            </w:r>
          </w:p>
        </w:tc>
        <w:tc>
          <w:tcPr>
            <w:tcW w:w="753"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w:t>
            </w:r>
          </w:p>
        </w:tc>
        <w:tc>
          <w:tcPr>
            <w:tcW w:w="229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4535" w:type="dxa"/>
            <w:tcBorders>
              <w:top w:val="nil"/>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753"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1106"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631"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十二、农林水支出</w:t>
            </w:r>
          </w:p>
        </w:tc>
        <w:tc>
          <w:tcPr>
            <w:tcW w:w="753"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w:t>
            </w:r>
          </w:p>
        </w:tc>
        <w:tc>
          <w:tcPr>
            <w:tcW w:w="229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4535" w:type="dxa"/>
            <w:tcBorders>
              <w:top w:val="nil"/>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753"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1106"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631"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十三、交通运输支出</w:t>
            </w:r>
          </w:p>
        </w:tc>
        <w:tc>
          <w:tcPr>
            <w:tcW w:w="753"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w:t>
            </w:r>
          </w:p>
        </w:tc>
        <w:tc>
          <w:tcPr>
            <w:tcW w:w="229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4535" w:type="dxa"/>
            <w:tcBorders>
              <w:top w:val="nil"/>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753"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1106"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631"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十四、资源勘探信息等支出</w:t>
            </w:r>
          </w:p>
        </w:tc>
        <w:tc>
          <w:tcPr>
            <w:tcW w:w="753"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w:t>
            </w:r>
          </w:p>
        </w:tc>
        <w:tc>
          <w:tcPr>
            <w:tcW w:w="229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4535" w:type="dxa"/>
            <w:tcBorders>
              <w:top w:val="nil"/>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753"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1106"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631"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十五、商业服务业等支出</w:t>
            </w:r>
          </w:p>
        </w:tc>
        <w:tc>
          <w:tcPr>
            <w:tcW w:w="753"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w:t>
            </w:r>
          </w:p>
        </w:tc>
        <w:tc>
          <w:tcPr>
            <w:tcW w:w="229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4535" w:type="dxa"/>
            <w:tcBorders>
              <w:top w:val="nil"/>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753"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1106"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631"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十六、金融支出</w:t>
            </w:r>
          </w:p>
        </w:tc>
        <w:tc>
          <w:tcPr>
            <w:tcW w:w="753"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w:t>
            </w:r>
          </w:p>
        </w:tc>
        <w:tc>
          <w:tcPr>
            <w:tcW w:w="229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4535" w:type="dxa"/>
            <w:tcBorders>
              <w:top w:val="nil"/>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753"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1106"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631"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十七、援助其他地区支出</w:t>
            </w:r>
          </w:p>
        </w:tc>
        <w:tc>
          <w:tcPr>
            <w:tcW w:w="753"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w:t>
            </w:r>
          </w:p>
        </w:tc>
        <w:tc>
          <w:tcPr>
            <w:tcW w:w="229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4535" w:type="dxa"/>
            <w:tcBorders>
              <w:top w:val="nil"/>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753"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1106"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631"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十八、国土海洋气象等支出</w:t>
            </w:r>
          </w:p>
        </w:tc>
        <w:tc>
          <w:tcPr>
            <w:tcW w:w="753"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w:t>
            </w:r>
          </w:p>
        </w:tc>
        <w:tc>
          <w:tcPr>
            <w:tcW w:w="229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4535" w:type="dxa"/>
            <w:tcBorders>
              <w:top w:val="nil"/>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753"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1106"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631"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十九、住房保障支出</w:t>
            </w:r>
          </w:p>
        </w:tc>
        <w:tc>
          <w:tcPr>
            <w:tcW w:w="753"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w:t>
            </w:r>
          </w:p>
        </w:tc>
        <w:tc>
          <w:tcPr>
            <w:tcW w:w="229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4535" w:type="dxa"/>
            <w:tcBorders>
              <w:top w:val="nil"/>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753"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1106"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631"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二十、粮油物资储备支出</w:t>
            </w:r>
          </w:p>
        </w:tc>
        <w:tc>
          <w:tcPr>
            <w:tcW w:w="753"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w:t>
            </w:r>
          </w:p>
        </w:tc>
        <w:tc>
          <w:tcPr>
            <w:tcW w:w="229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4535" w:type="dxa"/>
            <w:tcBorders>
              <w:top w:val="nil"/>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753"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1106"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631"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二十一、其他支出</w:t>
            </w:r>
          </w:p>
        </w:tc>
        <w:tc>
          <w:tcPr>
            <w:tcW w:w="753"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w:t>
            </w:r>
          </w:p>
        </w:tc>
        <w:tc>
          <w:tcPr>
            <w:tcW w:w="229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4535" w:type="dxa"/>
            <w:tcBorders>
              <w:top w:val="nil"/>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753"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w:t>
            </w:r>
          </w:p>
        </w:tc>
        <w:tc>
          <w:tcPr>
            <w:tcW w:w="1106"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631"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753"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w:t>
            </w:r>
          </w:p>
        </w:tc>
        <w:tc>
          <w:tcPr>
            <w:tcW w:w="229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4535" w:type="dxa"/>
            <w:tcBorders>
              <w:top w:val="nil"/>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本年收入合计</w:t>
            </w:r>
          </w:p>
        </w:tc>
        <w:tc>
          <w:tcPr>
            <w:tcW w:w="753"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1106"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623.43</w:t>
            </w:r>
          </w:p>
        </w:tc>
        <w:tc>
          <w:tcPr>
            <w:tcW w:w="4631"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本年支出合计</w:t>
            </w:r>
          </w:p>
        </w:tc>
        <w:tc>
          <w:tcPr>
            <w:tcW w:w="753"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229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623.43</w:t>
            </w:r>
          </w:p>
        </w:tc>
      </w:tr>
      <w:tr>
        <w:tblPrEx>
          <w:tblCellMar>
            <w:top w:w="0" w:type="dxa"/>
            <w:left w:w="0" w:type="dxa"/>
            <w:bottom w:w="0" w:type="dxa"/>
            <w:right w:w="0" w:type="dxa"/>
          </w:tblCellMar>
        </w:tblPrEx>
        <w:trPr>
          <w:trHeight w:val="308" w:hRule="atLeast"/>
        </w:trPr>
        <w:tc>
          <w:tcPr>
            <w:tcW w:w="4535" w:type="dxa"/>
            <w:tcBorders>
              <w:top w:val="nil"/>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用事业基金弥补收支差额</w:t>
            </w:r>
          </w:p>
        </w:tc>
        <w:tc>
          <w:tcPr>
            <w:tcW w:w="753"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w:t>
            </w:r>
          </w:p>
        </w:tc>
        <w:tc>
          <w:tcPr>
            <w:tcW w:w="1106"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631"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结余分配</w:t>
            </w:r>
          </w:p>
        </w:tc>
        <w:tc>
          <w:tcPr>
            <w:tcW w:w="753"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w:t>
            </w:r>
          </w:p>
        </w:tc>
        <w:tc>
          <w:tcPr>
            <w:tcW w:w="229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4535" w:type="dxa"/>
            <w:tcBorders>
              <w:top w:val="nil"/>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年初结转和结余</w:t>
            </w:r>
          </w:p>
        </w:tc>
        <w:tc>
          <w:tcPr>
            <w:tcW w:w="753"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1106"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631"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年末结转和结余</w:t>
            </w:r>
          </w:p>
        </w:tc>
        <w:tc>
          <w:tcPr>
            <w:tcW w:w="753"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w:t>
            </w:r>
          </w:p>
        </w:tc>
        <w:tc>
          <w:tcPr>
            <w:tcW w:w="229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4535" w:type="dxa"/>
            <w:tcBorders>
              <w:top w:val="nil"/>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753"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w:t>
            </w:r>
          </w:p>
        </w:tc>
        <w:tc>
          <w:tcPr>
            <w:tcW w:w="1106"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631"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753"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w:t>
            </w:r>
          </w:p>
        </w:tc>
        <w:tc>
          <w:tcPr>
            <w:tcW w:w="229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4535" w:type="dxa"/>
            <w:tcBorders>
              <w:top w:val="nil"/>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总计</w:t>
            </w:r>
          </w:p>
        </w:tc>
        <w:tc>
          <w:tcPr>
            <w:tcW w:w="753"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w:t>
            </w:r>
          </w:p>
        </w:tc>
        <w:tc>
          <w:tcPr>
            <w:tcW w:w="1106"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623.43</w:t>
            </w:r>
          </w:p>
        </w:tc>
        <w:tc>
          <w:tcPr>
            <w:tcW w:w="4631"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总计</w:t>
            </w:r>
          </w:p>
        </w:tc>
        <w:tc>
          <w:tcPr>
            <w:tcW w:w="753"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w:t>
            </w:r>
          </w:p>
        </w:tc>
        <w:tc>
          <w:tcPr>
            <w:tcW w:w="229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623.43</w:t>
            </w:r>
          </w:p>
        </w:tc>
      </w:tr>
      <w:tr>
        <w:tblPrEx>
          <w:tblCellMar>
            <w:top w:w="0" w:type="dxa"/>
            <w:left w:w="0" w:type="dxa"/>
            <w:bottom w:w="0" w:type="dxa"/>
            <w:right w:w="0" w:type="dxa"/>
          </w:tblCellMar>
        </w:tblPrEx>
        <w:trPr>
          <w:trHeight w:val="308" w:hRule="atLeast"/>
        </w:trPr>
        <w:tc>
          <w:tcPr>
            <w:tcW w:w="14070" w:type="dxa"/>
            <w:gridSpan w:val="6"/>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注：本表反映部门本年度的总收支和年末结转结余情况。本表金额转换为万元时，因四舍五入可能存在尾差。</w:t>
            </w:r>
          </w:p>
        </w:tc>
      </w:tr>
    </w:tbl>
    <w:p>
      <w:pPr>
        <w:spacing w:after="0"/>
        <w:jc w:val="center"/>
        <w:rPr>
          <w:sz w:val="20"/>
        </w:rPr>
      </w:pPr>
    </w:p>
    <w:p>
      <w:pPr>
        <w:spacing w:after="0"/>
        <w:jc w:val="center"/>
        <w:rPr>
          <w:sz w:val="20"/>
        </w:rPr>
      </w:pPr>
    </w:p>
    <w:p>
      <w:pPr>
        <w:spacing w:after="0"/>
        <w:jc w:val="center"/>
        <w:rPr>
          <w:sz w:val="20"/>
        </w:rPr>
      </w:pPr>
    </w:p>
    <w:p>
      <w:pPr>
        <w:spacing w:after="0"/>
        <w:jc w:val="center"/>
        <w:rPr>
          <w:sz w:val="20"/>
        </w:rPr>
      </w:pPr>
    </w:p>
    <w:p>
      <w:pPr>
        <w:spacing w:after="0"/>
        <w:jc w:val="center"/>
        <w:rPr>
          <w:sz w:val="20"/>
        </w:rPr>
      </w:pPr>
    </w:p>
    <w:p>
      <w:pPr>
        <w:spacing w:after="0"/>
        <w:jc w:val="center"/>
        <w:rPr>
          <w:sz w:val="20"/>
        </w:rPr>
      </w:pPr>
    </w:p>
    <w:p>
      <w:pPr>
        <w:spacing w:after="0"/>
        <w:jc w:val="center"/>
        <w:rPr>
          <w:sz w:val="20"/>
        </w:rPr>
      </w:pPr>
    </w:p>
    <w:p>
      <w:pPr>
        <w:spacing w:after="0"/>
        <w:jc w:val="center"/>
        <w:rPr>
          <w:sz w:val="20"/>
        </w:rPr>
      </w:pPr>
    </w:p>
    <w:p>
      <w:pPr>
        <w:spacing w:after="0"/>
        <w:jc w:val="center"/>
        <w:rPr>
          <w:sz w:val="20"/>
        </w:rPr>
      </w:pPr>
    </w:p>
    <w:p>
      <w:pPr>
        <w:spacing w:after="0"/>
        <w:jc w:val="center"/>
        <w:rPr>
          <w:sz w:val="20"/>
        </w:rPr>
      </w:pPr>
    </w:p>
    <w:p>
      <w:pPr>
        <w:spacing w:after="0"/>
        <w:jc w:val="center"/>
        <w:rPr>
          <w:sz w:val="20"/>
        </w:rPr>
      </w:pPr>
    </w:p>
    <w:p>
      <w:pPr>
        <w:spacing w:after="0"/>
        <w:jc w:val="center"/>
        <w:rPr>
          <w:sz w:val="20"/>
        </w:rPr>
      </w:pPr>
    </w:p>
    <w:p>
      <w:pPr>
        <w:spacing w:after="0"/>
        <w:jc w:val="center"/>
        <w:rPr>
          <w:sz w:val="20"/>
        </w:rPr>
      </w:pPr>
    </w:p>
    <w:p>
      <w:pPr>
        <w:spacing w:after="0"/>
        <w:jc w:val="center"/>
        <w:rPr>
          <w:sz w:val="20"/>
        </w:rPr>
      </w:pPr>
    </w:p>
    <w:p>
      <w:pPr>
        <w:spacing w:after="0"/>
        <w:jc w:val="center"/>
        <w:rPr>
          <w:sz w:val="20"/>
        </w:rPr>
      </w:pPr>
    </w:p>
    <w:p>
      <w:pPr>
        <w:spacing w:after="0"/>
        <w:jc w:val="center"/>
        <w:rPr>
          <w:sz w:val="20"/>
        </w:rPr>
      </w:pPr>
    </w:p>
    <w:p>
      <w:pPr>
        <w:spacing w:after="0"/>
        <w:jc w:val="center"/>
        <w:rPr>
          <w:sz w:val="20"/>
        </w:rPr>
      </w:pPr>
    </w:p>
    <w:p>
      <w:pPr>
        <w:spacing w:after="0"/>
        <w:jc w:val="center"/>
        <w:rPr>
          <w:sz w:val="20"/>
        </w:rPr>
      </w:pPr>
    </w:p>
    <w:p>
      <w:pPr>
        <w:spacing w:after="0"/>
        <w:jc w:val="center"/>
        <w:rPr>
          <w:sz w:val="20"/>
        </w:rPr>
      </w:pPr>
    </w:p>
    <w:p>
      <w:pPr>
        <w:spacing w:after="0"/>
        <w:jc w:val="center"/>
        <w:rPr>
          <w:sz w:val="20"/>
        </w:rPr>
      </w:pPr>
    </w:p>
    <w:p>
      <w:pPr>
        <w:spacing w:after="0"/>
        <w:jc w:val="center"/>
        <w:rPr>
          <w:sz w:val="20"/>
        </w:rPr>
      </w:pPr>
    </w:p>
    <w:p>
      <w:pPr>
        <w:spacing w:after="0"/>
        <w:jc w:val="center"/>
        <w:rPr>
          <w:sz w:val="20"/>
        </w:rPr>
      </w:pPr>
    </w:p>
    <w:p>
      <w:pPr>
        <w:spacing w:after="0"/>
        <w:jc w:val="center"/>
        <w:rPr>
          <w:sz w:val="20"/>
        </w:rPr>
      </w:pPr>
    </w:p>
    <w:p>
      <w:pPr>
        <w:spacing w:after="0"/>
        <w:jc w:val="center"/>
        <w:rPr>
          <w:sz w:val="20"/>
        </w:rPr>
      </w:pPr>
    </w:p>
    <w:p>
      <w:pPr>
        <w:spacing w:after="0"/>
        <w:jc w:val="center"/>
        <w:rPr>
          <w:sz w:val="20"/>
        </w:rPr>
      </w:pPr>
    </w:p>
    <w:p>
      <w:pPr>
        <w:spacing w:after="0"/>
        <w:jc w:val="center"/>
        <w:rPr>
          <w:sz w:val="20"/>
        </w:rPr>
      </w:pPr>
    </w:p>
    <w:p>
      <w:pPr>
        <w:spacing w:after="0"/>
        <w:jc w:val="center"/>
        <w:rPr>
          <w:sz w:val="20"/>
        </w:rPr>
      </w:pPr>
    </w:p>
    <w:p>
      <w:pPr>
        <w:spacing w:after="0"/>
        <w:jc w:val="center"/>
        <w:rPr>
          <w:sz w:val="20"/>
        </w:rPr>
      </w:pPr>
    </w:p>
    <w:p>
      <w:pPr>
        <w:spacing w:after="0"/>
        <w:jc w:val="center"/>
        <w:rPr>
          <w:sz w:val="20"/>
        </w:rPr>
      </w:pPr>
    </w:p>
    <w:p>
      <w:pPr>
        <w:spacing w:after="0"/>
        <w:jc w:val="center"/>
        <w:rPr>
          <w:sz w:val="20"/>
        </w:rPr>
      </w:pPr>
    </w:p>
    <w:p>
      <w:pPr>
        <w:spacing w:after="0"/>
        <w:jc w:val="center"/>
        <w:rPr>
          <w:sz w:val="20"/>
        </w:rPr>
      </w:pPr>
    </w:p>
    <w:p>
      <w:pPr>
        <w:spacing w:after="0"/>
        <w:jc w:val="center"/>
        <w:rPr>
          <w:sz w:val="20"/>
        </w:rPr>
      </w:pPr>
    </w:p>
    <w:tbl>
      <w:tblPr>
        <w:tblStyle w:val="6"/>
        <w:tblW w:w="14618" w:type="dxa"/>
        <w:tblInd w:w="0" w:type="dxa"/>
        <w:shd w:val="clear" w:color="auto" w:fill="auto"/>
        <w:tblLayout w:type="fixed"/>
        <w:tblCellMar>
          <w:top w:w="0" w:type="dxa"/>
          <w:left w:w="0" w:type="dxa"/>
          <w:bottom w:w="0" w:type="dxa"/>
          <w:right w:w="0" w:type="dxa"/>
        </w:tblCellMar>
      </w:tblPr>
      <w:tblGrid>
        <w:gridCol w:w="2900"/>
        <w:gridCol w:w="36"/>
        <w:gridCol w:w="38"/>
        <w:gridCol w:w="3865"/>
        <w:gridCol w:w="1070"/>
        <w:gridCol w:w="1251"/>
        <w:gridCol w:w="991"/>
        <w:gridCol w:w="994"/>
        <w:gridCol w:w="994"/>
        <w:gridCol w:w="994"/>
        <w:gridCol w:w="1485"/>
      </w:tblGrid>
      <w:tr>
        <w:tblPrEx>
          <w:shd w:val="clear" w:color="auto" w:fill="auto"/>
          <w:tblCellMar>
            <w:top w:w="0" w:type="dxa"/>
            <w:left w:w="0" w:type="dxa"/>
            <w:bottom w:w="0" w:type="dxa"/>
            <w:right w:w="0" w:type="dxa"/>
          </w:tblCellMar>
        </w:tblPrEx>
        <w:trPr>
          <w:trHeight w:val="416" w:hRule="atLeast"/>
        </w:trPr>
        <w:tc>
          <w:tcPr>
            <w:tcW w:w="14618" w:type="dxa"/>
            <w:gridSpan w:val="11"/>
            <w:tcBorders>
              <w:top w:val="nil"/>
              <w:left w:val="nil"/>
              <w:bottom w:val="nil"/>
              <w:right w:val="nil"/>
            </w:tcBorders>
            <w:shd w:val="clear" w:color="auto" w:fill="FFFFFF"/>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收入决算表</w:t>
            </w:r>
          </w:p>
        </w:tc>
      </w:tr>
      <w:tr>
        <w:tblPrEx>
          <w:tblCellMar>
            <w:top w:w="0" w:type="dxa"/>
            <w:left w:w="0" w:type="dxa"/>
            <w:bottom w:w="0" w:type="dxa"/>
            <w:right w:w="0" w:type="dxa"/>
          </w:tblCellMar>
        </w:tblPrEx>
        <w:trPr>
          <w:trHeight w:val="281" w:hRule="atLeast"/>
        </w:trPr>
        <w:tc>
          <w:tcPr>
            <w:tcW w:w="14618" w:type="dxa"/>
            <w:gridSpan w:val="11"/>
            <w:tcBorders>
              <w:top w:val="nil"/>
              <w:left w:val="nil"/>
              <w:bottom w:val="nil"/>
              <w:right w:val="nil"/>
            </w:tcBorders>
            <w:shd w:val="clear" w:color="auto" w:fill="FFFFFF"/>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公开02表</w:t>
            </w:r>
          </w:p>
        </w:tc>
      </w:tr>
      <w:tr>
        <w:tblPrEx>
          <w:tblCellMar>
            <w:top w:w="0" w:type="dxa"/>
            <w:left w:w="0" w:type="dxa"/>
            <w:bottom w:w="0" w:type="dxa"/>
            <w:right w:w="0" w:type="dxa"/>
          </w:tblCellMar>
        </w:tblPrEx>
        <w:trPr>
          <w:trHeight w:val="281" w:hRule="atLeast"/>
        </w:trPr>
        <w:tc>
          <w:tcPr>
            <w:tcW w:w="2900" w:type="dxa"/>
            <w:tcBorders>
              <w:top w:val="nil"/>
              <w:left w:val="nil"/>
              <w:bottom w:val="nil"/>
              <w:right w:val="nil"/>
            </w:tcBorders>
            <w:shd w:val="clear" w:color="auto" w:fill="FFFFFF"/>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部门：中共濮阳县委政法委员会</w:t>
            </w:r>
          </w:p>
        </w:tc>
        <w:tc>
          <w:tcPr>
            <w:tcW w:w="36" w:type="dxa"/>
            <w:tcBorders>
              <w:top w:val="nil"/>
              <w:left w:val="nil"/>
              <w:bottom w:val="nil"/>
              <w:right w:val="nil"/>
            </w:tcBorders>
            <w:shd w:val="clear" w:color="auto" w:fill="FFFFFF"/>
            <w:tcMar>
              <w:top w:w="15" w:type="dxa"/>
              <w:left w:w="15" w:type="dxa"/>
              <w:right w:w="15" w:type="dxa"/>
            </w:tcMar>
            <w:vAlign w:val="bottom"/>
          </w:tcPr>
          <w:p>
            <w:pPr>
              <w:rPr>
                <w:rFonts w:hint="eastAsia" w:ascii="Arial" w:hAnsi="Arial" w:cs="Arial"/>
                <w:i w:val="0"/>
                <w:color w:val="000000"/>
                <w:sz w:val="20"/>
                <w:szCs w:val="20"/>
                <w:u w:val="none"/>
              </w:rPr>
            </w:pPr>
          </w:p>
        </w:tc>
        <w:tc>
          <w:tcPr>
            <w:tcW w:w="38" w:type="dxa"/>
            <w:tcBorders>
              <w:top w:val="nil"/>
              <w:left w:val="nil"/>
              <w:bottom w:val="nil"/>
              <w:right w:val="nil"/>
            </w:tcBorders>
            <w:shd w:val="clear" w:color="auto" w:fill="FFFFFF"/>
            <w:tcMar>
              <w:top w:w="15" w:type="dxa"/>
              <w:left w:w="15" w:type="dxa"/>
              <w:right w:w="15" w:type="dxa"/>
            </w:tcMar>
            <w:vAlign w:val="bottom"/>
          </w:tcPr>
          <w:p>
            <w:pPr>
              <w:rPr>
                <w:rFonts w:hint="default" w:ascii="Arial" w:hAnsi="Arial" w:cs="Arial"/>
                <w:i w:val="0"/>
                <w:color w:val="000000"/>
                <w:sz w:val="20"/>
                <w:szCs w:val="20"/>
                <w:u w:val="none"/>
              </w:rPr>
            </w:pPr>
          </w:p>
        </w:tc>
        <w:tc>
          <w:tcPr>
            <w:tcW w:w="3865" w:type="dxa"/>
            <w:tcBorders>
              <w:top w:val="nil"/>
              <w:left w:val="nil"/>
              <w:bottom w:val="nil"/>
              <w:right w:val="nil"/>
            </w:tcBorders>
            <w:shd w:val="clear" w:color="auto" w:fill="FFFFFF"/>
            <w:tcMar>
              <w:top w:w="15" w:type="dxa"/>
              <w:left w:w="15" w:type="dxa"/>
              <w:right w:w="15" w:type="dxa"/>
            </w:tcMar>
            <w:vAlign w:val="bottom"/>
          </w:tcPr>
          <w:p>
            <w:pPr>
              <w:rPr>
                <w:rFonts w:hint="default" w:ascii="Arial" w:hAnsi="Arial" w:cs="Arial"/>
                <w:i w:val="0"/>
                <w:color w:val="000000"/>
                <w:sz w:val="20"/>
                <w:szCs w:val="20"/>
                <w:u w:val="none"/>
              </w:rPr>
            </w:pPr>
          </w:p>
        </w:tc>
        <w:tc>
          <w:tcPr>
            <w:tcW w:w="1070" w:type="dxa"/>
            <w:tcBorders>
              <w:top w:val="nil"/>
              <w:left w:val="nil"/>
              <w:bottom w:val="nil"/>
              <w:right w:val="nil"/>
            </w:tcBorders>
            <w:shd w:val="clear" w:color="auto" w:fill="FFFFFF"/>
            <w:tcMar>
              <w:top w:w="15" w:type="dxa"/>
              <w:left w:w="15" w:type="dxa"/>
              <w:right w:w="15" w:type="dxa"/>
            </w:tcMar>
            <w:vAlign w:val="bottom"/>
          </w:tcPr>
          <w:p>
            <w:pPr>
              <w:rPr>
                <w:rFonts w:hint="default" w:ascii="Arial" w:hAnsi="Arial" w:cs="Arial"/>
                <w:i w:val="0"/>
                <w:color w:val="000000"/>
                <w:sz w:val="20"/>
                <w:szCs w:val="20"/>
                <w:u w:val="none"/>
              </w:rPr>
            </w:pPr>
          </w:p>
        </w:tc>
        <w:tc>
          <w:tcPr>
            <w:tcW w:w="1251" w:type="dxa"/>
            <w:tcBorders>
              <w:top w:val="nil"/>
              <w:left w:val="nil"/>
              <w:bottom w:val="nil"/>
              <w:right w:val="nil"/>
            </w:tcBorders>
            <w:shd w:val="clear" w:color="auto" w:fill="FFFFFF"/>
            <w:tcMar>
              <w:top w:w="15" w:type="dxa"/>
              <w:left w:w="15" w:type="dxa"/>
              <w:right w:w="15" w:type="dxa"/>
            </w:tcMar>
            <w:vAlign w:val="bottom"/>
          </w:tcPr>
          <w:p>
            <w:pPr>
              <w:rPr>
                <w:rFonts w:hint="default" w:ascii="Arial" w:hAnsi="Arial" w:cs="Arial"/>
                <w:i w:val="0"/>
                <w:color w:val="000000"/>
                <w:sz w:val="20"/>
                <w:szCs w:val="20"/>
                <w:u w:val="none"/>
              </w:rPr>
            </w:pPr>
          </w:p>
        </w:tc>
        <w:tc>
          <w:tcPr>
            <w:tcW w:w="991" w:type="dxa"/>
            <w:tcBorders>
              <w:top w:val="nil"/>
              <w:left w:val="nil"/>
              <w:bottom w:val="nil"/>
              <w:right w:val="nil"/>
            </w:tcBorders>
            <w:shd w:val="clear" w:color="auto" w:fill="FFFFFF"/>
            <w:tcMar>
              <w:top w:w="15" w:type="dxa"/>
              <w:left w:w="15" w:type="dxa"/>
              <w:right w:w="15" w:type="dxa"/>
            </w:tcMar>
            <w:vAlign w:val="bottom"/>
          </w:tcPr>
          <w:p>
            <w:pPr>
              <w:rPr>
                <w:rFonts w:hint="default" w:ascii="Arial" w:hAnsi="Arial" w:cs="Arial"/>
                <w:i w:val="0"/>
                <w:color w:val="000000"/>
                <w:sz w:val="20"/>
                <w:szCs w:val="20"/>
                <w:u w:val="none"/>
              </w:rPr>
            </w:pPr>
          </w:p>
        </w:tc>
        <w:tc>
          <w:tcPr>
            <w:tcW w:w="994" w:type="dxa"/>
            <w:tcBorders>
              <w:top w:val="nil"/>
              <w:left w:val="nil"/>
              <w:bottom w:val="nil"/>
              <w:right w:val="nil"/>
            </w:tcBorders>
            <w:shd w:val="clear" w:color="auto" w:fill="FFFFFF"/>
            <w:tcMar>
              <w:top w:w="15" w:type="dxa"/>
              <w:left w:w="15" w:type="dxa"/>
              <w:right w:w="15" w:type="dxa"/>
            </w:tcMar>
            <w:vAlign w:val="bottom"/>
          </w:tcPr>
          <w:p>
            <w:pPr>
              <w:rPr>
                <w:rFonts w:hint="default" w:ascii="Arial" w:hAnsi="Arial" w:cs="Arial"/>
                <w:i w:val="0"/>
                <w:color w:val="000000"/>
                <w:sz w:val="20"/>
                <w:szCs w:val="20"/>
                <w:u w:val="none"/>
              </w:rPr>
            </w:pPr>
          </w:p>
        </w:tc>
        <w:tc>
          <w:tcPr>
            <w:tcW w:w="994" w:type="dxa"/>
            <w:tcBorders>
              <w:top w:val="nil"/>
              <w:left w:val="nil"/>
              <w:bottom w:val="nil"/>
              <w:right w:val="nil"/>
            </w:tcBorders>
            <w:shd w:val="clear" w:color="auto" w:fill="FFFFFF"/>
            <w:tcMar>
              <w:top w:w="15" w:type="dxa"/>
              <w:left w:w="15" w:type="dxa"/>
              <w:right w:w="15" w:type="dxa"/>
            </w:tcMar>
            <w:vAlign w:val="bottom"/>
          </w:tcPr>
          <w:p>
            <w:pPr>
              <w:rPr>
                <w:rFonts w:hint="default" w:ascii="Arial" w:hAnsi="Arial" w:cs="Arial"/>
                <w:i w:val="0"/>
                <w:color w:val="000000"/>
                <w:sz w:val="20"/>
                <w:szCs w:val="20"/>
                <w:u w:val="none"/>
              </w:rPr>
            </w:pPr>
          </w:p>
        </w:tc>
        <w:tc>
          <w:tcPr>
            <w:tcW w:w="994" w:type="dxa"/>
            <w:tcBorders>
              <w:top w:val="nil"/>
              <w:left w:val="nil"/>
              <w:bottom w:val="nil"/>
              <w:right w:val="nil"/>
            </w:tcBorders>
            <w:shd w:val="clear" w:color="auto" w:fill="FFFFFF"/>
            <w:tcMar>
              <w:top w:w="15" w:type="dxa"/>
              <w:left w:w="15" w:type="dxa"/>
              <w:right w:w="15" w:type="dxa"/>
            </w:tcMar>
            <w:vAlign w:val="bottom"/>
          </w:tcPr>
          <w:p>
            <w:pPr>
              <w:rPr>
                <w:rFonts w:hint="default" w:ascii="Arial" w:hAnsi="Arial" w:cs="Arial"/>
                <w:i w:val="0"/>
                <w:color w:val="000000"/>
                <w:sz w:val="20"/>
                <w:szCs w:val="20"/>
                <w:u w:val="none"/>
              </w:rPr>
            </w:pPr>
          </w:p>
        </w:tc>
        <w:tc>
          <w:tcPr>
            <w:tcW w:w="1485" w:type="dxa"/>
            <w:tcBorders>
              <w:top w:val="nil"/>
              <w:left w:val="nil"/>
              <w:bottom w:val="nil"/>
              <w:right w:val="nil"/>
            </w:tcBorders>
            <w:shd w:val="clear" w:color="auto" w:fill="FFFFFF"/>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trHeight w:val="342" w:hRule="atLeast"/>
        </w:trPr>
        <w:tc>
          <w:tcPr>
            <w:tcW w:w="6839" w:type="dxa"/>
            <w:gridSpan w:val="4"/>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1070" w:type="dxa"/>
            <w:vMerge w:val="restart"/>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本年收入合计</w:t>
            </w:r>
          </w:p>
        </w:tc>
        <w:tc>
          <w:tcPr>
            <w:tcW w:w="1251" w:type="dxa"/>
            <w:vMerge w:val="restart"/>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财政拨款收入</w:t>
            </w:r>
          </w:p>
        </w:tc>
        <w:tc>
          <w:tcPr>
            <w:tcW w:w="991" w:type="dxa"/>
            <w:vMerge w:val="restart"/>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上级补助收入</w:t>
            </w:r>
          </w:p>
        </w:tc>
        <w:tc>
          <w:tcPr>
            <w:tcW w:w="994" w:type="dxa"/>
            <w:vMerge w:val="restart"/>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事业收入</w:t>
            </w:r>
          </w:p>
        </w:tc>
        <w:tc>
          <w:tcPr>
            <w:tcW w:w="994" w:type="dxa"/>
            <w:vMerge w:val="restart"/>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经营收入</w:t>
            </w:r>
          </w:p>
        </w:tc>
        <w:tc>
          <w:tcPr>
            <w:tcW w:w="994" w:type="dxa"/>
            <w:vMerge w:val="restart"/>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附属单位上缴收入</w:t>
            </w:r>
          </w:p>
        </w:tc>
        <w:tc>
          <w:tcPr>
            <w:tcW w:w="1485" w:type="dxa"/>
            <w:vMerge w:val="restart"/>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其他收入</w:t>
            </w:r>
          </w:p>
        </w:tc>
      </w:tr>
      <w:tr>
        <w:tblPrEx>
          <w:tblCellMar>
            <w:top w:w="0" w:type="dxa"/>
            <w:left w:w="0" w:type="dxa"/>
            <w:bottom w:w="0" w:type="dxa"/>
            <w:right w:w="0" w:type="dxa"/>
          </w:tblCellMar>
        </w:tblPrEx>
        <w:trPr>
          <w:trHeight w:val="342" w:hRule="atLeast"/>
        </w:trPr>
        <w:tc>
          <w:tcPr>
            <w:tcW w:w="2974" w:type="dxa"/>
            <w:gridSpan w:val="3"/>
            <w:vMerge w:val="restart"/>
            <w:tcBorders>
              <w:top w:val="nil"/>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3865" w:type="dxa"/>
            <w:vMerge w:val="restart"/>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070" w:type="dxa"/>
            <w:vMerge w:val="continue"/>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51" w:type="dxa"/>
            <w:vMerge w:val="continue"/>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91" w:type="dxa"/>
            <w:vMerge w:val="continue"/>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94" w:type="dxa"/>
            <w:vMerge w:val="continue"/>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94" w:type="dxa"/>
            <w:vMerge w:val="continue"/>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94" w:type="dxa"/>
            <w:vMerge w:val="continue"/>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85" w:type="dxa"/>
            <w:vMerge w:val="continue"/>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42" w:hRule="atLeast"/>
        </w:trPr>
        <w:tc>
          <w:tcPr>
            <w:tcW w:w="2974" w:type="dxa"/>
            <w:gridSpan w:val="3"/>
            <w:vMerge w:val="continue"/>
            <w:tcBorders>
              <w:top w:val="nil"/>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865" w:type="dxa"/>
            <w:vMerge w:val="continue"/>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70" w:type="dxa"/>
            <w:vMerge w:val="continue"/>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51" w:type="dxa"/>
            <w:vMerge w:val="continue"/>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91" w:type="dxa"/>
            <w:vMerge w:val="continue"/>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94" w:type="dxa"/>
            <w:vMerge w:val="continue"/>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94" w:type="dxa"/>
            <w:vMerge w:val="continue"/>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94" w:type="dxa"/>
            <w:vMerge w:val="continue"/>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85" w:type="dxa"/>
            <w:vMerge w:val="continue"/>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42" w:hRule="atLeast"/>
        </w:trPr>
        <w:tc>
          <w:tcPr>
            <w:tcW w:w="2974" w:type="dxa"/>
            <w:gridSpan w:val="3"/>
            <w:vMerge w:val="continue"/>
            <w:tcBorders>
              <w:top w:val="nil"/>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865" w:type="dxa"/>
            <w:vMerge w:val="continue"/>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70" w:type="dxa"/>
            <w:vMerge w:val="continue"/>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51" w:type="dxa"/>
            <w:vMerge w:val="continue"/>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91" w:type="dxa"/>
            <w:vMerge w:val="continue"/>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94" w:type="dxa"/>
            <w:vMerge w:val="continue"/>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94" w:type="dxa"/>
            <w:vMerge w:val="continue"/>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94" w:type="dxa"/>
            <w:vMerge w:val="continue"/>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85" w:type="dxa"/>
            <w:vMerge w:val="continue"/>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42" w:hRule="atLeast"/>
        </w:trPr>
        <w:tc>
          <w:tcPr>
            <w:tcW w:w="6839" w:type="dxa"/>
            <w:gridSpan w:val="4"/>
            <w:tcBorders>
              <w:top w:val="nil"/>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1070"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251"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991"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994"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994"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994"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485"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r>
      <w:tr>
        <w:tblPrEx>
          <w:tblCellMar>
            <w:top w:w="0" w:type="dxa"/>
            <w:left w:w="0" w:type="dxa"/>
            <w:bottom w:w="0" w:type="dxa"/>
            <w:right w:w="0" w:type="dxa"/>
          </w:tblCellMar>
        </w:tblPrEx>
        <w:trPr>
          <w:trHeight w:val="342" w:hRule="atLeast"/>
        </w:trPr>
        <w:tc>
          <w:tcPr>
            <w:tcW w:w="6839" w:type="dxa"/>
            <w:gridSpan w:val="4"/>
            <w:tcBorders>
              <w:top w:val="nil"/>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07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623.43</w:t>
            </w:r>
          </w:p>
        </w:tc>
        <w:tc>
          <w:tcPr>
            <w:tcW w:w="125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623.43</w:t>
            </w:r>
          </w:p>
        </w:tc>
        <w:tc>
          <w:tcPr>
            <w:tcW w:w="9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99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99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99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148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42" w:hRule="atLeast"/>
        </w:trPr>
        <w:tc>
          <w:tcPr>
            <w:tcW w:w="2974" w:type="dxa"/>
            <w:gridSpan w:val="3"/>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w:t>
            </w:r>
          </w:p>
        </w:tc>
        <w:tc>
          <w:tcPr>
            <w:tcW w:w="386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一般公共服务支出</w:t>
            </w:r>
          </w:p>
        </w:tc>
        <w:tc>
          <w:tcPr>
            <w:tcW w:w="107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588.57</w:t>
            </w:r>
          </w:p>
        </w:tc>
        <w:tc>
          <w:tcPr>
            <w:tcW w:w="125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588.57</w:t>
            </w:r>
          </w:p>
        </w:tc>
        <w:tc>
          <w:tcPr>
            <w:tcW w:w="9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9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9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9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8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42" w:hRule="atLeast"/>
        </w:trPr>
        <w:tc>
          <w:tcPr>
            <w:tcW w:w="2974" w:type="dxa"/>
            <w:gridSpan w:val="3"/>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20131</w:t>
            </w:r>
          </w:p>
        </w:tc>
        <w:tc>
          <w:tcPr>
            <w:tcW w:w="386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党委办公厅（室）及相关机构事务</w:t>
            </w:r>
          </w:p>
        </w:tc>
        <w:tc>
          <w:tcPr>
            <w:tcW w:w="107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588.57</w:t>
            </w:r>
          </w:p>
        </w:tc>
        <w:tc>
          <w:tcPr>
            <w:tcW w:w="125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588.57</w:t>
            </w:r>
          </w:p>
        </w:tc>
        <w:tc>
          <w:tcPr>
            <w:tcW w:w="9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9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9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9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8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42" w:hRule="atLeast"/>
        </w:trPr>
        <w:tc>
          <w:tcPr>
            <w:tcW w:w="2974" w:type="dxa"/>
            <w:gridSpan w:val="3"/>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2013101</w:t>
            </w:r>
          </w:p>
        </w:tc>
        <w:tc>
          <w:tcPr>
            <w:tcW w:w="386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行政运行</w:t>
            </w:r>
          </w:p>
        </w:tc>
        <w:tc>
          <w:tcPr>
            <w:tcW w:w="107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236.15</w:t>
            </w:r>
          </w:p>
        </w:tc>
        <w:tc>
          <w:tcPr>
            <w:tcW w:w="125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236.15</w:t>
            </w:r>
          </w:p>
        </w:tc>
        <w:tc>
          <w:tcPr>
            <w:tcW w:w="9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9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9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9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8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42" w:hRule="atLeast"/>
        </w:trPr>
        <w:tc>
          <w:tcPr>
            <w:tcW w:w="2974" w:type="dxa"/>
            <w:gridSpan w:val="3"/>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2013102</w:t>
            </w:r>
          </w:p>
        </w:tc>
        <w:tc>
          <w:tcPr>
            <w:tcW w:w="386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一般行政管理事务</w:t>
            </w:r>
          </w:p>
        </w:tc>
        <w:tc>
          <w:tcPr>
            <w:tcW w:w="107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352.42</w:t>
            </w:r>
          </w:p>
        </w:tc>
        <w:tc>
          <w:tcPr>
            <w:tcW w:w="125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352.42</w:t>
            </w:r>
          </w:p>
        </w:tc>
        <w:tc>
          <w:tcPr>
            <w:tcW w:w="9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9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9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9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8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42" w:hRule="atLeast"/>
        </w:trPr>
        <w:tc>
          <w:tcPr>
            <w:tcW w:w="2974" w:type="dxa"/>
            <w:gridSpan w:val="3"/>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w:t>
            </w:r>
          </w:p>
        </w:tc>
        <w:tc>
          <w:tcPr>
            <w:tcW w:w="386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社会保障和就业支出</w:t>
            </w:r>
          </w:p>
        </w:tc>
        <w:tc>
          <w:tcPr>
            <w:tcW w:w="107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25.48</w:t>
            </w:r>
          </w:p>
        </w:tc>
        <w:tc>
          <w:tcPr>
            <w:tcW w:w="125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25.48</w:t>
            </w:r>
          </w:p>
        </w:tc>
        <w:tc>
          <w:tcPr>
            <w:tcW w:w="9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9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9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9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8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42" w:hRule="atLeast"/>
        </w:trPr>
        <w:tc>
          <w:tcPr>
            <w:tcW w:w="2974" w:type="dxa"/>
            <w:gridSpan w:val="3"/>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w:t>
            </w:r>
          </w:p>
        </w:tc>
        <w:tc>
          <w:tcPr>
            <w:tcW w:w="386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行政事业单位离退休</w:t>
            </w:r>
          </w:p>
        </w:tc>
        <w:tc>
          <w:tcPr>
            <w:tcW w:w="107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25.48</w:t>
            </w:r>
          </w:p>
        </w:tc>
        <w:tc>
          <w:tcPr>
            <w:tcW w:w="125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25.48</w:t>
            </w:r>
          </w:p>
        </w:tc>
        <w:tc>
          <w:tcPr>
            <w:tcW w:w="9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9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9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9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8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42" w:hRule="atLeast"/>
        </w:trPr>
        <w:tc>
          <w:tcPr>
            <w:tcW w:w="2974" w:type="dxa"/>
            <w:gridSpan w:val="3"/>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2080505</w:t>
            </w:r>
          </w:p>
        </w:tc>
        <w:tc>
          <w:tcPr>
            <w:tcW w:w="386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机关事业单位基本养老保险缴费支出</w:t>
            </w:r>
          </w:p>
        </w:tc>
        <w:tc>
          <w:tcPr>
            <w:tcW w:w="107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24.49</w:t>
            </w:r>
          </w:p>
        </w:tc>
        <w:tc>
          <w:tcPr>
            <w:tcW w:w="125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24.49</w:t>
            </w:r>
          </w:p>
        </w:tc>
        <w:tc>
          <w:tcPr>
            <w:tcW w:w="9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9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9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9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8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42" w:hRule="atLeast"/>
        </w:trPr>
        <w:tc>
          <w:tcPr>
            <w:tcW w:w="2974" w:type="dxa"/>
            <w:gridSpan w:val="3"/>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2080599</w:t>
            </w:r>
          </w:p>
        </w:tc>
        <w:tc>
          <w:tcPr>
            <w:tcW w:w="386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其他行政事业单位离退休支出</w:t>
            </w:r>
          </w:p>
        </w:tc>
        <w:tc>
          <w:tcPr>
            <w:tcW w:w="107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0.99</w:t>
            </w:r>
          </w:p>
        </w:tc>
        <w:tc>
          <w:tcPr>
            <w:tcW w:w="125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0.99</w:t>
            </w:r>
          </w:p>
        </w:tc>
        <w:tc>
          <w:tcPr>
            <w:tcW w:w="9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9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9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9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8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42" w:hRule="atLeast"/>
        </w:trPr>
        <w:tc>
          <w:tcPr>
            <w:tcW w:w="2974" w:type="dxa"/>
            <w:gridSpan w:val="3"/>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w:t>
            </w:r>
          </w:p>
        </w:tc>
        <w:tc>
          <w:tcPr>
            <w:tcW w:w="386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医疗卫生与计划生育支出</w:t>
            </w:r>
          </w:p>
        </w:tc>
        <w:tc>
          <w:tcPr>
            <w:tcW w:w="107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9.38</w:t>
            </w:r>
          </w:p>
        </w:tc>
        <w:tc>
          <w:tcPr>
            <w:tcW w:w="125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9.38</w:t>
            </w:r>
          </w:p>
        </w:tc>
        <w:tc>
          <w:tcPr>
            <w:tcW w:w="9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9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9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9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8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42" w:hRule="atLeast"/>
        </w:trPr>
        <w:tc>
          <w:tcPr>
            <w:tcW w:w="2974" w:type="dxa"/>
            <w:gridSpan w:val="3"/>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w:t>
            </w:r>
          </w:p>
        </w:tc>
        <w:tc>
          <w:tcPr>
            <w:tcW w:w="386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行政事业单位医疗</w:t>
            </w:r>
          </w:p>
        </w:tc>
        <w:tc>
          <w:tcPr>
            <w:tcW w:w="107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9.38</w:t>
            </w:r>
          </w:p>
        </w:tc>
        <w:tc>
          <w:tcPr>
            <w:tcW w:w="125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9.38</w:t>
            </w:r>
          </w:p>
        </w:tc>
        <w:tc>
          <w:tcPr>
            <w:tcW w:w="9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9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9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9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8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42" w:hRule="atLeast"/>
        </w:trPr>
        <w:tc>
          <w:tcPr>
            <w:tcW w:w="2974" w:type="dxa"/>
            <w:gridSpan w:val="3"/>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2101101</w:t>
            </w:r>
          </w:p>
        </w:tc>
        <w:tc>
          <w:tcPr>
            <w:tcW w:w="386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行政单位医疗</w:t>
            </w:r>
          </w:p>
        </w:tc>
        <w:tc>
          <w:tcPr>
            <w:tcW w:w="107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4.35</w:t>
            </w:r>
          </w:p>
        </w:tc>
        <w:tc>
          <w:tcPr>
            <w:tcW w:w="125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4.35</w:t>
            </w:r>
          </w:p>
        </w:tc>
        <w:tc>
          <w:tcPr>
            <w:tcW w:w="9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9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9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9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8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42" w:hRule="atLeast"/>
        </w:trPr>
        <w:tc>
          <w:tcPr>
            <w:tcW w:w="2974" w:type="dxa"/>
            <w:gridSpan w:val="3"/>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2101102</w:t>
            </w:r>
          </w:p>
        </w:tc>
        <w:tc>
          <w:tcPr>
            <w:tcW w:w="386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事业单位医疗</w:t>
            </w:r>
          </w:p>
        </w:tc>
        <w:tc>
          <w:tcPr>
            <w:tcW w:w="107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5.03</w:t>
            </w:r>
          </w:p>
        </w:tc>
        <w:tc>
          <w:tcPr>
            <w:tcW w:w="125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5.03</w:t>
            </w:r>
          </w:p>
        </w:tc>
        <w:tc>
          <w:tcPr>
            <w:tcW w:w="9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9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9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9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8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42" w:hRule="atLeast"/>
        </w:trPr>
        <w:tc>
          <w:tcPr>
            <w:tcW w:w="14618" w:type="dxa"/>
            <w:gridSpan w:val="11"/>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注：本表反映部门本年度取得的各项收入情况。本表金额转换为万元时，因四舍五入可能存在尾差。</w:t>
            </w:r>
          </w:p>
        </w:tc>
      </w:tr>
      <w:tr>
        <w:tblPrEx>
          <w:tblCellMar>
            <w:top w:w="0" w:type="dxa"/>
            <w:left w:w="0" w:type="dxa"/>
            <w:bottom w:w="0" w:type="dxa"/>
            <w:right w:w="0" w:type="dxa"/>
          </w:tblCellMar>
        </w:tblPrEx>
        <w:trPr>
          <w:trHeight w:val="342" w:hRule="atLeast"/>
        </w:trPr>
        <w:tc>
          <w:tcPr>
            <w:tcW w:w="14618" w:type="dxa"/>
            <w:gridSpan w:val="11"/>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tc>
      </w:tr>
    </w:tbl>
    <w:p>
      <w:pPr>
        <w:spacing w:after="0"/>
        <w:jc w:val="center"/>
        <w:rPr>
          <w:sz w:val="20"/>
        </w:rPr>
      </w:pPr>
    </w:p>
    <w:p>
      <w:pPr>
        <w:spacing w:after="0"/>
        <w:jc w:val="both"/>
        <w:rPr>
          <w:sz w:val="20"/>
        </w:rPr>
      </w:pPr>
    </w:p>
    <w:p>
      <w:pPr>
        <w:spacing w:after="0"/>
        <w:jc w:val="both"/>
        <w:rPr>
          <w:sz w:val="20"/>
        </w:rPr>
      </w:pPr>
    </w:p>
    <w:p>
      <w:pPr>
        <w:spacing w:after="0"/>
        <w:jc w:val="both"/>
        <w:rPr>
          <w:sz w:val="20"/>
        </w:rPr>
      </w:pPr>
    </w:p>
    <w:p>
      <w:pPr>
        <w:spacing w:after="0"/>
        <w:jc w:val="both"/>
        <w:rPr>
          <w:sz w:val="20"/>
        </w:rPr>
      </w:pPr>
    </w:p>
    <w:p>
      <w:pPr>
        <w:spacing w:after="0"/>
        <w:jc w:val="both"/>
        <w:rPr>
          <w:sz w:val="20"/>
        </w:rPr>
      </w:pPr>
    </w:p>
    <w:p>
      <w:pPr>
        <w:spacing w:after="0"/>
        <w:jc w:val="both"/>
        <w:rPr>
          <w:sz w:val="20"/>
        </w:rPr>
      </w:pPr>
    </w:p>
    <w:p>
      <w:pPr>
        <w:spacing w:after="0"/>
        <w:jc w:val="both"/>
        <w:rPr>
          <w:sz w:val="20"/>
        </w:rPr>
      </w:pPr>
    </w:p>
    <w:p>
      <w:pPr>
        <w:spacing w:after="0"/>
        <w:jc w:val="both"/>
        <w:rPr>
          <w:sz w:val="20"/>
        </w:rPr>
      </w:pPr>
    </w:p>
    <w:tbl>
      <w:tblPr>
        <w:tblStyle w:val="6"/>
        <w:tblW w:w="14250" w:type="dxa"/>
        <w:tblInd w:w="0" w:type="dxa"/>
        <w:shd w:val="clear" w:color="auto" w:fill="auto"/>
        <w:tblLayout w:type="fixed"/>
        <w:tblCellMar>
          <w:top w:w="0" w:type="dxa"/>
          <w:left w:w="0" w:type="dxa"/>
          <w:bottom w:w="0" w:type="dxa"/>
          <w:right w:w="0" w:type="dxa"/>
        </w:tblCellMar>
      </w:tblPr>
      <w:tblGrid>
        <w:gridCol w:w="2830"/>
        <w:gridCol w:w="36"/>
        <w:gridCol w:w="36"/>
        <w:gridCol w:w="3770"/>
        <w:gridCol w:w="1265"/>
        <w:gridCol w:w="1326"/>
        <w:gridCol w:w="1326"/>
        <w:gridCol w:w="1056"/>
        <w:gridCol w:w="1056"/>
        <w:gridCol w:w="1549"/>
      </w:tblGrid>
      <w:tr>
        <w:tblPrEx>
          <w:shd w:val="clear" w:color="auto" w:fill="auto"/>
          <w:tblCellMar>
            <w:top w:w="0" w:type="dxa"/>
            <w:left w:w="0" w:type="dxa"/>
            <w:bottom w:w="0" w:type="dxa"/>
            <w:right w:w="0" w:type="dxa"/>
          </w:tblCellMar>
        </w:tblPrEx>
        <w:trPr>
          <w:trHeight w:val="390" w:hRule="atLeast"/>
        </w:trPr>
        <w:tc>
          <w:tcPr>
            <w:tcW w:w="14250" w:type="dxa"/>
            <w:gridSpan w:val="10"/>
            <w:tcBorders>
              <w:top w:val="nil"/>
              <w:left w:val="nil"/>
              <w:bottom w:val="nil"/>
              <w:right w:val="nil"/>
            </w:tcBorders>
            <w:shd w:val="clear" w:color="auto" w:fill="FFFFFF"/>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支出决算表</w:t>
            </w:r>
          </w:p>
        </w:tc>
      </w:tr>
      <w:tr>
        <w:tblPrEx>
          <w:tblCellMar>
            <w:top w:w="0" w:type="dxa"/>
            <w:left w:w="0" w:type="dxa"/>
            <w:bottom w:w="0" w:type="dxa"/>
            <w:right w:w="0" w:type="dxa"/>
          </w:tblCellMar>
        </w:tblPrEx>
        <w:trPr>
          <w:trHeight w:val="255" w:hRule="atLeast"/>
        </w:trPr>
        <w:tc>
          <w:tcPr>
            <w:tcW w:w="14250" w:type="dxa"/>
            <w:gridSpan w:val="10"/>
            <w:tcBorders>
              <w:top w:val="nil"/>
              <w:left w:val="nil"/>
              <w:bottom w:val="nil"/>
              <w:right w:val="nil"/>
            </w:tcBorders>
            <w:shd w:val="clear" w:color="auto" w:fill="FFFFFF"/>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公开03表</w:t>
            </w:r>
          </w:p>
        </w:tc>
      </w:tr>
      <w:tr>
        <w:tblPrEx>
          <w:tblCellMar>
            <w:top w:w="0" w:type="dxa"/>
            <w:left w:w="0" w:type="dxa"/>
            <w:bottom w:w="0" w:type="dxa"/>
            <w:right w:w="0" w:type="dxa"/>
          </w:tblCellMar>
        </w:tblPrEx>
        <w:trPr>
          <w:trHeight w:val="255" w:hRule="atLeast"/>
        </w:trPr>
        <w:tc>
          <w:tcPr>
            <w:tcW w:w="2830" w:type="dxa"/>
            <w:tcBorders>
              <w:top w:val="nil"/>
              <w:left w:val="nil"/>
              <w:bottom w:val="nil"/>
              <w:right w:val="nil"/>
            </w:tcBorders>
            <w:shd w:val="clear" w:color="auto" w:fill="FFFFFF"/>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部门：中共濮阳县委政法委员会</w:t>
            </w:r>
          </w:p>
        </w:tc>
        <w:tc>
          <w:tcPr>
            <w:tcW w:w="36" w:type="dxa"/>
            <w:tcBorders>
              <w:top w:val="nil"/>
              <w:left w:val="nil"/>
              <w:bottom w:val="nil"/>
              <w:right w:val="nil"/>
            </w:tcBorders>
            <w:shd w:val="clear" w:color="auto" w:fill="FFFFFF"/>
            <w:tcMar>
              <w:top w:w="15" w:type="dxa"/>
              <w:left w:w="15" w:type="dxa"/>
              <w:right w:w="15" w:type="dxa"/>
            </w:tcMar>
            <w:vAlign w:val="bottom"/>
          </w:tcPr>
          <w:p>
            <w:pPr>
              <w:rPr>
                <w:rFonts w:hint="eastAsia" w:ascii="Arial" w:hAnsi="Arial" w:cs="Arial"/>
                <w:i w:val="0"/>
                <w:color w:val="000000"/>
                <w:sz w:val="20"/>
                <w:szCs w:val="20"/>
                <w:u w:val="none"/>
              </w:rPr>
            </w:pPr>
          </w:p>
        </w:tc>
        <w:tc>
          <w:tcPr>
            <w:tcW w:w="36" w:type="dxa"/>
            <w:tcBorders>
              <w:top w:val="nil"/>
              <w:left w:val="nil"/>
              <w:bottom w:val="nil"/>
              <w:right w:val="nil"/>
            </w:tcBorders>
            <w:shd w:val="clear" w:color="auto" w:fill="FFFFFF"/>
            <w:tcMar>
              <w:top w:w="15" w:type="dxa"/>
              <w:left w:w="15" w:type="dxa"/>
              <w:right w:w="15" w:type="dxa"/>
            </w:tcMar>
            <w:vAlign w:val="bottom"/>
          </w:tcPr>
          <w:p>
            <w:pPr>
              <w:rPr>
                <w:rFonts w:hint="default" w:ascii="Arial" w:hAnsi="Arial" w:cs="Arial"/>
                <w:i w:val="0"/>
                <w:color w:val="000000"/>
                <w:sz w:val="20"/>
                <w:szCs w:val="20"/>
                <w:u w:val="none"/>
              </w:rPr>
            </w:pPr>
          </w:p>
        </w:tc>
        <w:tc>
          <w:tcPr>
            <w:tcW w:w="3770" w:type="dxa"/>
            <w:tcBorders>
              <w:top w:val="nil"/>
              <w:left w:val="nil"/>
              <w:bottom w:val="nil"/>
              <w:right w:val="nil"/>
            </w:tcBorders>
            <w:shd w:val="clear" w:color="auto" w:fill="FFFFFF"/>
            <w:tcMar>
              <w:top w:w="15" w:type="dxa"/>
              <w:left w:w="15" w:type="dxa"/>
              <w:right w:w="15" w:type="dxa"/>
            </w:tcMar>
            <w:vAlign w:val="bottom"/>
          </w:tcPr>
          <w:p>
            <w:pPr>
              <w:rPr>
                <w:rFonts w:hint="default" w:ascii="Arial" w:hAnsi="Arial" w:cs="Arial"/>
                <w:i w:val="0"/>
                <w:color w:val="000000"/>
                <w:sz w:val="20"/>
                <w:szCs w:val="20"/>
                <w:u w:val="none"/>
              </w:rPr>
            </w:pPr>
          </w:p>
        </w:tc>
        <w:tc>
          <w:tcPr>
            <w:tcW w:w="1265" w:type="dxa"/>
            <w:tcBorders>
              <w:top w:val="nil"/>
              <w:left w:val="nil"/>
              <w:bottom w:val="nil"/>
              <w:right w:val="nil"/>
            </w:tcBorders>
            <w:shd w:val="clear" w:color="auto" w:fill="FFFFFF"/>
            <w:tcMar>
              <w:top w:w="15" w:type="dxa"/>
              <w:left w:w="15" w:type="dxa"/>
              <w:right w:w="15" w:type="dxa"/>
            </w:tcMar>
            <w:vAlign w:val="bottom"/>
          </w:tcPr>
          <w:p>
            <w:pPr>
              <w:rPr>
                <w:rFonts w:hint="default" w:ascii="Arial" w:hAnsi="Arial" w:cs="Arial"/>
                <w:i w:val="0"/>
                <w:color w:val="000000"/>
                <w:sz w:val="20"/>
                <w:szCs w:val="20"/>
                <w:u w:val="none"/>
              </w:rPr>
            </w:pPr>
          </w:p>
        </w:tc>
        <w:tc>
          <w:tcPr>
            <w:tcW w:w="1326" w:type="dxa"/>
            <w:tcBorders>
              <w:top w:val="nil"/>
              <w:left w:val="nil"/>
              <w:bottom w:val="nil"/>
              <w:right w:val="nil"/>
            </w:tcBorders>
            <w:shd w:val="clear" w:color="auto" w:fill="FFFFFF"/>
            <w:tcMar>
              <w:top w:w="15" w:type="dxa"/>
              <w:left w:w="15" w:type="dxa"/>
              <w:right w:w="15" w:type="dxa"/>
            </w:tcMar>
            <w:vAlign w:val="bottom"/>
          </w:tcPr>
          <w:p>
            <w:pPr>
              <w:rPr>
                <w:rFonts w:hint="default" w:ascii="Arial" w:hAnsi="Arial" w:cs="Arial"/>
                <w:i w:val="0"/>
                <w:color w:val="000000"/>
                <w:sz w:val="20"/>
                <w:szCs w:val="20"/>
                <w:u w:val="none"/>
              </w:rPr>
            </w:pPr>
          </w:p>
        </w:tc>
        <w:tc>
          <w:tcPr>
            <w:tcW w:w="1326" w:type="dxa"/>
            <w:tcBorders>
              <w:top w:val="nil"/>
              <w:left w:val="nil"/>
              <w:bottom w:val="nil"/>
              <w:right w:val="nil"/>
            </w:tcBorders>
            <w:shd w:val="clear" w:color="auto" w:fill="FFFFFF"/>
            <w:tcMar>
              <w:top w:w="15" w:type="dxa"/>
              <w:left w:w="15" w:type="dxa"/>
              <w:right w:w="15" w:type="dxa"/>
            </w:tcMar>
            <w:vAlign w:val="bottom"/>
          </w:tcPr>
          <w:p>
            <w:pPr>
              <w:rPr>
                <w:rFonts w:hint="default" w:ascii="Arial" w:hAnsi="Arial" w:cs="Arial"/>
                <w:i w:val="0"/>
                <w:color w:val="000000"/>
                <w:sz w:val="20"/>
                <w:szCs w:val="20"/>
                <w:u w:val="none"/>
              </w:rPr>
            </w:pPr>
          </w:p>
        </w:tc>
        <w:tc>
          <w:tcPr>
            <w:tcW w:w="1056" w:type="dxa"/>
            <w:tcBorders>
              <w:top w:val="nil"/>
              <w:left w:val="nil"/>
              <w:bottom w:val="nil"/>
              <w:right w:val="nil"/>
            </w:tcBorders>
            <w:shd w:val="clear" w:color="auto" w:fill="FFFFFF"/>
            <w:tcMar>
              <w:top w:w="15" w:type="dxa"/>
              <w:left w:w="15" w:type="dxa"/>
              <w:right w:w="15" w:type="dxa"/>
            </w:tcMar>
            <w:vAlign w:val="bottom"/>
          </w:tcPr>
          <w:p>
            <w:pPr>
              <w:rPr>
                <w:rFonts w:hint="default" w:ascii="Arial" w:hAnsi="Arial" w:cs="Arial"/>
                <w:i w:val="0"/>
                <w:color w:val="000000"/>
                <w:sz w:val="20"/>
                <w:szCs w:val="20"/>
                <w:u w:val="none"/>
              </w:rPr>
            </w:pPr>
          </w:p>
        </w:tc>
        <w:tc>
          <w:tcPr>
            <w:tcW w:w="1056" w:type="dxa"/>
            <w:tcBorders>
              <w:top w:val="nil"/>
              <w:left w:val="nil"/>
              <w:bottom w:val="nil"/>
              <w:right w:val="nil"/>
            </w:tcBorders>
            <w:shd w:val="clear" w:color="auto" w:fill="FFFFFF"/>
            <w:tcMar>
              <w:top w:w="15" w:type="dxa"/>
              <w:left w:w="15" w:type="dxa"/>
              <w:right w:w="15" w:type="dxa"/>
            </w:tcMar>
            <w:vAlign w:val="bottom"/>
          </w:tcPr>
          <w:p>
            <w:pPr>
              <w:rPr>
                <w:rFonts w:hint="default" w:ascii="Arial" w:hAnsi="Arial" w:cs="Arial"/>
                <w:i w:val="0"/>
                <w:color w:val="000000"/>
                <w:sz w:val="20"/>
                <w:szCs w:val="20"/>
                <w:u w:val="none"/>
              </w:rPr>
            </w:pPr>
          </w:p>
        </w:tc>
        <w:tc>
          <w:tcPr>
            <w:tcW w:w="1549" w:type="dxa"/>
            <w:tcBorders>
              <w:top w:val="nil"/>
              <w:left w:val="nil"/>
              <w:bottom w:val="nil"/>
              <w:right w:val="nil"/>
            </w:tcBorders>
            <w:shd w:val="clear" w:color="auto" w:fill="FFFFFF"/>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trHeight w:val="308" w:hRule="atLeast"/>
        </w:trPr>
        <w:tc>
          <w:tcPr>
            <w:tcW w:w="6672" w:type="dxa"/>
            <w:gridSpan w:val="4"/>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1265" w:type="dxa"/>
            <w:vMerge w:val="restart"/>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本年支出合计</w:t>
            </w:r>
          </w:p>
        </w:tc>
        <w:tc>
          <w:tcPr>
            <w:tcW w:w="1326" w:type="dxa"/>
            <w:vMerge w:val="restart"/>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1326" w:type="dxa"/>
            <w:vMerge w:val="restart"/>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c>
          <w:tcPr>
            <w:tcW w:w="1056" w:type="dxa"/>
            <w:vMerge w:val="restart"/>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上缴上级支出</w:t>
            </w:r>
          </w:p>
        </w:tc>
        <w:tc>
          <w:tcPr>
            <w:tcW w:w="1056" w:type="dxa"/>
            <w:vMerge w:val="restart"/>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经营支出</w:t>
            </w:r>
          </w:p>
        </w:tc>
        <w:tc>
          <w:tcPr>
            <w:tcW w:w="1549" w:type="dxa"/>
            <w:vMerge w:val="restart"/>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对附属单位补助支出</w:t>
            </w:r>
          </w:p>
        </w:tc>
      </w:tr>
      <w:tr>
        <w:tblPrEx>
          <w:tblCellMar>
            <w:top w:w="0" w:type="dxa"/>
            <w:left w:w="0" w:type="dxa"/>
            <w:bottom w:w="0" w:type="dxa"/>
            <w:right w:w="0" w:type="dxa"/>
          </w:tblCellMar>
        </w:tblPrEx>
        <w:trPr>
          <w:trHeight w:val="308" w:hRule="atLeast"/>
        </w:trPr>
        <w:tc>
          <w:tcPr>
            <w:tcW w:w="2902" w:type="dxa"/>
            <w:gridSpan w:val="3"/>
            <w:vMerge w:val="restart"/>
            <w:tcBorders>
              <w:top w:val="nil"/>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3770" w:type="dxa"/>
            <w:vMerge w:val="restart"/>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265" w:type="dxa"/>
            <w:vMerge w:val="continue"/>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26" w:type="dxa"/>
            <w:vMerge w:val="continue"/>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26" w:type="dxa"/>
            <w:vMerge w:val="continue"/>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56" w:type="dxa"/>
            <w:vMerge w:val="continue"/>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56" w:type="dxa"/>
            <w:vMerge w:val="continue"/>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49" w:type="dxa"/>
            <w:vMerge w:val="continue"/>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2902" w:type="dxa"/>
            <w:gridSpan w:val="3"/>
            <w:vMerge w:val="continue"/>
            <w:tcBorders>
              <w:top w:val="nil"/>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770" w:type="dxa"/>
            <w:vMerge w:val="continue"/>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65" w:type="dxa"/>
            <w:vMerge w:val="continue"/>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26" w:type="dxa"/>
            <w:vMerge w:val="continue"/>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26" w:type="dxa"/>
            <w:vMerge w:val="continue"/>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56" w:type="dxa"/>
            <w:vMerge w:val="continue"/>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56" w:type="dxa"/>
            <w:vMerge w:val="continue"/>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49" w:type="dxa"/>
            <w:vMerge w:val="continue"/>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2902" w:type="dxa"/>
            <w:gridSpan w:val="3"/>
            <w:vMerge w:val="continue"/>
            <w:tcBorders>
              <w:top w:val="nil"/>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770" w:type="dxa"/>
            <w:vMerge w:val="continue"/>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65" w:type="dxa"/>
            <w:vMerge w:val="continue"/>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26" w:type="dxa"/>
            <w:vMerge w:val="continue"/>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26" w:type="dxa"/>
            <w:vMerge w:val="continue"/>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56" w:type="dxa"/>
            <w:vMerge w:val="continue"/>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56" w:type="dxa"/>
            <w:vMerge w:val="continue"/>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49" w:type="dxa"/>
            <w:vMerge w:val="continue"/>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6672" w:type="dxa"/>
            <w:gridSpan w:val="4"/>
            <w:tcBorders>
              <w:top w:val="nil"/>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1265"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326"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326"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056"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056"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549"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r>
      <w:tr>
        <w:tblPrEx>
          <w:tblCellMar>
            <w:top w:w="0" w:type="dxa"/>
            <w:left w:w="0" w:type="dxa"/>
            <w:bottom w:w="0" w:type="dxa"/>
            <w:right w:w="0" w:type="dxa"/>
          </w:tblCellMar>
        </w:tblPrEx>
        <w:trPr>
          <w:trHeight w:val="308" w:hRule="atLeast"/>
        </w:trPr>
        <w:tc>
          <w:tcPr>
            <w:tcW w:w="6672" w:type="dxa"/>
            <w:gridSpan w:val="4"/>
            <w:tcBorders>
              <w:top w:val="nil"/>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26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623.43</w:t>
            </w:r>
          </w:p>
        </w:tc>
        <w:tc>
          <w:tcPr>
            <w:tcW w:w="1326"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271.01</w:t>
            </w:r>
          </w:p>
        </w:tc>
        <w:tc>
          <w:tcPr>
            <w:tcW w:w="1326"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352.42</w:t>
            </w:r>
          </w:p>
        </w:tc>
        <w:tc>
          <w:tcPr>
            <w:tcW w:w="1056"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1056"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1549"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902" w:type="dxa"/>
            <w:gridSpan w:val="3"/>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w:t>
            </w:r>
          </w:p>
        </w:tc>
        <w:tc>
          <w:tcPr>
            <w:tcW w:w="377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一般公共服务支出</w:t>
            </w:r>
          </w:p>
        </w:tc>
        <w:tc>
          <w:tcPr>
            <w:tcW w:w="126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588.57</w:t>
            </w:r>
          </w:p>
        </w:tc>
        <w:tc>
          <w:tcPr>
            <w:tcW w:w="1326"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236.15</w:t>
            </w:r>
          </w:p>
        </w:tc>
        <w:tc>
          <w:tcPr>
            <w:tcW w:w="1326"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352.42</w:t>
            </w:r>
          </w:p>
        </w:tc>
        <w:tc>
          <w:tcPr>
            <w:tcW w:w="1056"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56"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49"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902" w:type="dxa"/>
            <w:gridSpan w:val="3"/>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20131</w:t>
            </w:r>
          </w:p>
        </w:tc>
        <w:tc>
          <w:tcPr>
            <w:tcW w:w="377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党委办公厅（室）及相关机构事务</w:t>
            </w:r>
          </w:p>
        </w:tc>
        <w:tc>
          <w:tcPr>
            <w:tcW w:w="126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588.57</w:t>
            </w:r>
          </w:p>
        </w:tc>
        <w:tc>
          <w:tcPr>
            <w:tcW w:w="1326"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236.15</w:t>
            </w:r>
          </w:p>
        </w:tc>
        <w:tc>
          <w:tcPr>
            <w:tcW w:w="1326"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352.42</w:t>
            </w:r>
          </w:p>
        </w:tc>
        <w:tc>
          <w:tcPr>
            <w:tcW w:w="1056"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56"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49"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902" w:type="dxa"/>
            <w:gridSpan w:val="3"/>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2013101</w:t>
            </w:r>
          </w:p>
        </w:tc>
        <w:tc>
          <w:tcPr>
            <w:tcW w:w="377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行政运行</w:t>
            </w:r>
          </w:p>
        </w:tc>
        <w:tc>
          <w:tcPr>
            <w:tcW w:w="126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236.15</w:t>
            </w:r>
          </w:p>
        </w:tc>
        <w:tc>
          <w:tcPr>
            <w:tcW w:w="1326"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236.15</w:t>
            </w:r>
          </w:p>
        </w:tc>
        <w:tc>
          <w:tcPr>
            <w:tcW w:w="1326"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56"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56"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49"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902" w:type="dxa"/>
            <w:gridSpan w:val="3"/>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2013102</w:t>
            </w:r>
          </w:p>
        </w:tc>
        <w:tc>
          <w:tcPr>
            <w:tcW w:w="377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一般行政管理事务</w:t>
            </w:r>
          </w:p>
        </w:tc>
        <w:tc>
          <w:tcPr>
            <w:tcW w:w="126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352.42</w:t>
            </w:r>
          </w:p>
        </w:tc>
        <w:tc>
          <w:tcPr>
            <w:tcW w:w="1326"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26"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352.42</w:t>
            </w:r>
          </w:p>
        </w:tc>
        <w:tc>
          <w:tcPr>
            <w:tcW w:w="1056"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56"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49"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902" w:type="dxa"/>
            <w:gridSpan w:val="3"/>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w:t>
            </w:r>
          </w:p>
        </w:tc>
        <w:tc>
          <w:tcPr>
            <w:tcW w:w="377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社会保障和就业支出</w:t>
            </w:r>
          </w:p>
        </w:tc>
        <w:tc>
          <w:tcPr>
            <w:tcW w:w="126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25.48</w:t>
            </w:r>
          </w:p>
        </w:tc>
        <w:tc>
          <w:tcPr>
            <w:tcW w:w="1326"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25.48</w:t>
            </w:r>
          </w:p>
        </w:tc>
        <w:tc>
          <w:tcPr>
            <w:tcW w:w="1326"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56"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56"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49"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902" w:type="dxa"/>
            <w:gridSpan w:val="3"/>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w:t>
            </w:r>
          </w:p>
        </w:tc>
        <w:tc>
          <w:tcPr>
            <w:tcW w:w="377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行政事业单位离退休</w:t>
            </w:r>
          </w:p>
        </w:tc>
        <w:tc>
          <w:tcPr>
            <w:tcW w:w="126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25.48</w:t>
            </w:r>
          </w:p>
        </w:tc>
        <w:tc>
          <w:tcPr>
            <w:tcW w:w="1326"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25.48</w:t>
            </w:r>
          </w:p>
        </w:tc>
        <w:tc>
          <w:tcPr>
            <w:tcW w:w="1326"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56"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56"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49"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902" w:type="dxa"/>
            <w:gridSpan w:val="3"/>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2080505</w:t>
            </w:r>
          </w:p>
        </w:tc>
        <w:tc>
          <w:tcPr>
            <w:tcW w:w="377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机关事业单位基本养老保险缴费支出</w:t>
            </w:r>
          </w:p>
        </w:tc>
        <w:tc>
          <w:tcPr>
            <w:tcW w:w="126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24.49</w:t>
            </w:r>
          </w:p>
        </w:tc>
        <w:tc>
          <w:tcPr>
            <w:tcW w:w="1326"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24.49</w:t>
            </w:r>
          </w:p>
        </w:tc>
        <w:tc>
          <w:tcPr>
            <w:tcW w:w="1326"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56"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56"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49"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902" w:type="dxa"/>
            <w:gridSpan w:val="3"/>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2080599</w:t>
            </w:r>
          </w:p>
        </w:tc>
        <w:tc>
          <w:tcPr>
            <w:tcW w:w="377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其他行政事业单位离退休支出</w:t>
            </w:r>
          </w:p>
        </w:tc>
        <w:tc>
          <w:tcPr>
            <w:tcW w:w="126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0.99</w:t>
            </w:r>
          </w:p>
        </w:tc>
        <w:tc>
          <w:tcPr>
            <w:tcW w:w="1326"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0.99</w:t>
            </w:r>
          </w:p>
        </w:tc>
        <w:tc>
          <w:tcPr>
            <w:tcW w:w="1326"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56"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56"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49"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902" w:type="dxa"/>
            <w:gridSpan w:val="3"/>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w:t>
            </w:r>
          </w:p>
        </w:tc>
        <w:tc>
          <w:tcPr>
            <w:tcW w:w="377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医疗卫生与计划生育支出</w:t>
            </w:r>
          </w:p>
        </w:tc>
        <w:tc>
          <w:tcPr>
            <w:tcW w:w="126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9.38</w:t>
            </w:r>
          </w:p>
        </w:tc>
        <w:tc>
          <w:tcPr>
            <w:tcW w:w="1326"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9.38</w:t>
            </w:r>
          </w:p>
        </w:tc>
        <w:tc>
          <w:tcPr>
            <w:tcW w:w="1326"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56"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56"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49"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902" w:type="dxa"/>
            <w:gridSpan w:val="3"/>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w:t>
            </w:r>
          </w:p>
        </w:tc>
        <w:tc>
          <w:tcPr>
            <w:tcW w:w="377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行政事业单位医疗</w:t>
            </w:r>
          </w:p>
        </w:tc>
        <w:tc>
          <w:tcPr>
            <w:tcW w:w="126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9.38</w:t>
            </w:r>
          </w:p>
        </w:tc>
        <w:tc>
          <w:tcPr>
            <w:tcW w:w="1326"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9.38</w:t>
            </w:r>
          </w:p>
        </w:tc>
        <w:tc>
          <w:tcPr>
            <w:tcW w:w="1326"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56"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56"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49"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902" w:type="dxa"/>
            <w:gridSpan w:val="3"/>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2101101</w:t>
            </w:r>
          </w:p>
        </w:tc>
        <w:tc>
          <w:tcPr>
            <w:tcW w:w="377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行政单位医疗</w:t>
            </w:r>
          </w:p>
        </w:tc>
        <w:tc>
          <w:tcPr>
            <w:tcW w:w="126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4.35</w:t>
            </w:r>
          </w:p>
        </w:tc>
        <w:tc>
          <w:tcPr>
            <w:tcW w:w="1326"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4.35</w:t>
            </w:r>
          </w:p>
        </w:tc>
        <w:tc>
          <w:tcPr>
            <w:tcW w:w="1326"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56"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56"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49"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902" w:type="dxa"/>
            <w:gridSpan w:val="3"/>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2101102</w:t>
            </w:r>
          </w:p>
        </w:tc>
        <w:tc>
          <w:tcPr>
            <w:tcW w:w="377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事业单位医疗</w:t>
            </w:r>
          </w:p>
        </w:tc>
        <w:tc>
          <w:tcPr>
            <w:tcW w:w="126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5.03</w:t>
            </w:r>
          </w:p>
        </w:tc>
        <w:tc>
          <w:tcPr>
            <w:tcW w:w="1326"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5.03</w:t>
            </w:r>
          </w:p>
        </w:tc>
        <w:tc>
          <w:tcPr>
            <w:tcW w:w="1326"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56"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56"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49"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4250" w:type="dxa"/>
            <w:gridSpan w:val="10"/>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注：本表反映部门本年度各项支出情况。本表金额转换为万元时，因四舍五入可能存在尾差。</w:t>
            </w:r>
          </w:p>
        </w:tc>
      </w:tr>
    </w:tbl>
    <w:p>
      <w:pPr>
        <w:spacing w:after="0"/>
        <w:jc w:val="both"/>
        <w:rPr>
          <w:sz w:val="20"/>
        </w:rPr>
      </w:pPr>
    </w:p>
    <w:p>
      <w:pPr>
        <w:spacing w:after="0"/>
        <w:jc w:val="both"/>
        <w:rPr>
          <w:sz w:val="20"/>
        </w:rPr>
      </w:pPr>
    </w:p>
    <w:p>
      <w:pPr>
        <w:spacing w:after="0"/>
        <w:jc w:val="both"/>
        <w:rPr>
          <w:sz w:val="20"/>
        </w:rPr>
      </w:pPr>
    </w:p>
    <w:p>
      <w:pPr>
        <w:spacing w:after="0"/>
        <w:jc w:val="both"/>
        <w:rPr>
          <w:sz w:val="20"/>
        </w:rPr>
      </w:pPr>
    </w:p>
    <w:p>
      <w:pPr>
        <w:spacing w:after="0"/>
        <w:jc w:val="both"/>
        <w:rPr>
          <w:sz w:val="20"/>
        </w:rPr>
      </w:pPr>
    </w:p>
    <w:p>
      <w:pPr>
        <w:spacing w:after="0"/>
        <w:jc w:val="both"/>
        <w:rPr>
          <w:sz w:val="20"/>
        </w:rPr>
      </w:pPr>
    </w:p>
    <w:p>
      <w:pPr>
        <w:spacing w:after="0"/>
        <w:jc w:val="both"/>
        <w:rPr>
          <w:sz w:val="20"/>
        </w:rPr>
      </w:pPr>
    </w:p>
    <w:p>
      <w:pPr>
        <w:spacing w:after="0"/>
        <w:jc w:val="both"/>
        <w:rPr>
          <w:sz w:val="20"/>
        </w:rPr>
      </w:pPr>
    </w:p>
    <w:p>
      <w:pPr>
        <w:spacing w:after="0"/>
        <w:jc w:val="both"/>
        <w:rPr>
          <w:sz w:val="20"/>
        </w:rPr>
      </w:pPr>
    </w:p>
    <w:p>
      <w:pPr>
        <w:spacing w:after="0"/>
        <w:jc w:val="both"/>
        <w:rPr>
          <w:sz w:val="20"/>
        </w:rPr>
      </w:pPr>
    </w:p>
    <w:p>
      <w:pPr>
        <w:spacing w:after="0"/>
        <w:jc w:val="both"/>
        <w:rPr>
          <w:sz w:val="20"/>
        </w:rPr>
      </w:pPr>
    </w:p>
    <w:p>
      <w:pPr>
        <w:spacing w:after="0"/>
        <w:jc w:val="center"/>
        <w:rPr>
          <w:sz w:val="20"/>
        </w:rPr>
      </w:pPr>
      <w:r>
        <w:rPr>
          <w:rFonts w:hint="eastAsia"/>
          <w:sz w:val="20"/>
        </w:rPr>
        <w:t>财政拨款收入支出决算总表</w:t>
      </w:r>
    </w:p>
    <w:tbl>
      <w:tblPr>
        <w:tblStyle w:val="6"/>
        <w:tblW w:w="14610" w:type="dxa"/>
        <w:tblInd w:w="0" w:type="dxa"/>
        <w:shd w:val="clear" w:color="auto" w:fill="auto"/>
        <w:tblLayout w:type="fixed"/>
        <w:tblCellMar>
          <w:top w:w="0" w:type="dxa"/>
          <w:left w:w="0" w:type="dxa"/>
          <w:bottom w:w="0" w:type="dxa"/>
          <w:right w:w="0" w:type="dxa"/>
        </w:tblCellMar>
      </w:tblPr>
      <w:tblGrid>
        <w:gridCol w:w="3912"/>
        <w:gridCol w:w="512"/>
        <w:gridCol w:w="1480"/>
        <w:gridCol w:w="3912"/>
        <w:gridCol w:w="512"/>
        <w:gridCol w:w="862"/>
        <w:gridCol w:w="1480"/>
        <w:gridCol w:w="1940"/>
      </w:tblGrid>
      <w:tr>
        <w:tblPrEx>
          <w:shd w:val="clear" w:color="auto" w:fill="auto"/>
          <w:tblCellMar>
            <w:top w:w="0" w:type="dxa"/>
            <w:left w:w="0" w:type="dxa"/>
            <w:bottom w:w="0" w:type="dxa"/>
            <w:right w:w="0" w:type="dxa"/>
          </w:tblCellMar>
        </w:tblPrEx>
        <w:trPr>
          <w:trHeight w:val="255" w:hRule="atLeast"/>
        </w:trPr>
        <w:tc>
          <w:tcPr>
            <w:tcW w:w="14610" w:type="dxa"/>
            <w:gridSpan w:val="8"/>
            <w:tcBorders>
              <w:top w:val="nil"/>
              <w:left w:val="nil"/>
              <w:bottom w:val="nil"/>
              <w:right w:val="nil"/>
            </w:tcBorders>
            <w:shd w:val="clear" w:color="auto" w:fill="FFFFFF"/>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公开04表</w:t>
            </w:r>
          </w:p>
        </w:tc>
      </w:tr>
      <w:tr>
        <w:tblPrEx>
          <w:tblCellMar>
            <w:top w:w="0" w:type="dxa"/>
            <w:left w:w="0" w:type="dxa"/>
            <w:bottom w:w="0" w:type="dxa"/>
            <w:right w:w="0" w:type="dxa"/>
          </w:tblCellMar>
        </w:tblPrEx>
        <w:trPr>
          <w:trHeight w:val="255" w:hRule="atLeast"/>
        </w:trPr>
        <w:tc>
          <w:tcPr>
            <w:tcW w:w="3912" w:type="dxa"/>
            <w:tcBorders>
              <w:top w:val="nil"/>
              <w:left w:val="nil"/>
              <w:bottom w:val="nil"/>
              <w:right w:val="nil"/>
            </w:tcBorders>
            <w:shd w:val="clear" w:color="auto" w:fill="FFFFFF"/>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部门：中共濮阳县委政法委员会</w:t>
            </w:r>
          </w:p>
        </w:tc>
        <w:tc>
          <w:tcPr>
            <w:tcW w:w="512" w:type="dxa"/>
            <w:tcBorders>
              <w:top w:val="nil"/>
              <w:left w:val="nil"/>
              <w:bottom w:val="nil"/>
              <w:right w:val="nil"/>
            </w:tcBorders>
            <w:shd w:val="clear" w:color="auto" w:fill="FFFFFF"/>
            <w:tcMar>
              <w:top w:w="15" w:type="dxa"/>
              <w:left w:w="15" w:type="dxa"/>
              <w:right w:w="15" w:type="dxa"/>
            </w:tcMar>
            <w:vAlign w:val="bottom"/>
          </w:tcPr>
          <w:p>
            <w:pPr>
              <w:rPr>
                <w:rFonts w:hint="eastAsia" w:ascii="Arial" w:hAnsi="Arial" w:cs="Arial"/>
                <w:i w:val="0"/>
                <w:color w:val="000000"/>
                <w:sz w:val="20"/>
                <w:szCs w:val="20"/>
                <w:u w:val="none"/>
              </w:rPr>
            </w:pPr>
          </w:p>
        </w:tc>
        <w:tc>
          <w:tcPr>
            <w:tcW w:w="1480" w:type="dxa"/>
            <w:tcBorders>
              <w:top w:val="nil"/>
              <w:left w:val="nil"/>
              <w:bottom w:val="nil"/>
              <w:right w:val="nil"/>
            </w:tcBorders>
            <w:shd w:val="clear" w:color="auto" w:fill="FFFFFF"/>
            <w:tcMar>
              <w:top w:w="15" w:type="dxa"/>
              <w:left w:w="15" w:type="dxa"/>
              <w:right w:w="15" w:type="dxa"/>
            </w:tcMar>
            <w:vAlign w:val="bottom"/>
          </w:tcPr>
          <w:p>
            <w:pPr>
              <w:rPr>
                <w:rFonts w:hint="default" w:ascii="Arial" w:hAnsi="Arial" w:cs="Arial"/>
                <w:i w:val="0"/>
                <w:color w:val="000000"/>
                <w:sz w:val="20"/>
                <w:szCs w:val="20"/>
                <w:u w:val="none"/>
              </w:rPr>
            </w:pPr>
          </w:p>
        </w:tc>
        <w:tc>
          <w:tcPr>
            <w:tcW w:w="3912" w:type="dxa"/>
            <w:tcBorders>
              <w:top w:val="nil"/>
              <w:left w:val="nil"/>
              <w:bottom w:val="nil"/>
              <w:right w:val="nil"/>
            </w:tcBorders>
            <w:shd w:val="clear" w:color="auto" w:fill="FFFFFF"/>
            <w:tcMar>
              <w:top w:w="15" w:type="dxa"/>
              <w:left w:w="15" w:type="dxa"/>
              <w:right w:w="15" w:type="dxa"/>
            </w:tcMar>
            <w:vAlign w:val="bottom"/>
          </w:tcPr>
          <w:p>
            <w:pPr>
              <w:rPr>
                <w:rFonts w:hint="default" w:ascii="Arial" w:hAnsi="Arial" w:cs="Arial"/>
                <w:i w:val="0"/>
                <w:color w:val="000000"/>
                <w:sz w:val="20"/>
                <w:szCs w:val="20"/>
                <w:u w:val="none"/>
              </w:rPr>
            </w:pPr>
          </w:p>
        </w:tc>
        <w:tc>
          <w:tcPr>
            <w:tcW w:w="512" w:type="dxa"/>
            <w:tcBorders>
              <w:top w:val="nil"/>
              <w:left w:val="nil"/>
              <w:bottom w:val="nil"/>
              <w:right w:val="nil"/>
            </w:tcBorders>
            <w:shd w:val="clear" w:color="auto" w:fill="FFFFFF"/>
            <w:tcMar>
              <w:top w:w="15" w:type="dxa"/>
              <w:left w:w="15" w:type="dxa"/>
              <w:right w:w="15" w:type="dxa"/>
            </w:tcMar>
            <w:vAlign w:val="bottom"/>
          </w:tcPr>
          <w:p>
            <w:pPr>
              <w:rPr>
                <w:rFonts w:hint="default" w:ascii="Arial" w:hAnsi="Arial" w:cs="Arial"/>
                <w:i w:val="0"/>
                <w:color w:val="000000"/>
                <w:sz w:val="20"/>
                <w:szCs w:val="20"/>
                <w:u w:val="none"/>
              </w:rPr>
            </w:pPr>
          </w:p>
        </w:tc>
        <w:tc>
          <w:tcPr>
            <w:tcW w:w="862" w:type="dxa"/>
            <w:tcBorders>
              <w:top w:val="nil"/>
              <w:left w:val="nil"/>
              <w:bottom w:val="nil"/>
              <w:right w:val="nil"/>
            </w:tcBorders>
            <w:shd w:val="clear" w:color="auto" w:fill="FFFFFF"/>
            <w:tcMar>
              <w:top w:w="15" w:type="dxa"/>
              <w:left w:w="15" w:type="dxa"/>
              <w:right w:w="15" w:type="dxa"/>
            </w:tcMar>
            <w:vAlign w:val="bottom"/>
          </w:tcPr>
          <w:p>
            <w:pPr>
              <w:rPr>
                <w:rFonts w:hint="default" w:ascii="Arial" w:hAnsi="Arial" w:cs="Arial"/>
                <w:i w:val="0"/>
                <w:color w:val="000000"/>
                <w:sz w:val="20"/>
                <w:szCs w:val="20"/>
                <w:u w:val="none"/>
              </w:rPr>
            </w:pPr>
          </w:p>
        </w:tc>
        <w:tc>
          <w:tcPr>
            <w:tcW w:w="1480" w:type="dxa"/>
            <w:tcBorders>
              <w:top w:val="nil"/>
              <w:left w:val="nil"/>
              <w:bottom w:val="nil"/>
              <w:right w:val="nil"/>
            </w:tcBorders>
            <w:shd w:val="clear" w:color="auto" w:fill="FFFFFF"/>
            <w:tcMar>
              <w:top w:w="15" w:type="dxa"/>
              <w:left w:w="15" w:type="dxa"/>
              <w:right w:w="15" w:type="dxa"/>
            </w:tcMar>
            <w:vAlign w:val="bottom"/>
          </w:tcPr>
          <w:p>
            <w:pPr>
              <w:rPr>
                <w:rFonts w:hint="default" w:ascii="Arial" w:hAnsi="Arial" w:cs="Arial"/>
                <w:i w:val="0"/>
                <w:color w:val="000000"/>
                <w:sz w:val="20"/>
                <w:szCs w:val="20"/>
                <w:u w:val="none"/>
              </w:rPr>
            </w:pPr>
          </w:p>
        </w:tc>
        <w:tc>
          <w:tcPr>
            <w:tcW w:w="1940" w:type="dxa"/>
            <w:tcBorders>
              <w:top w:val="nil"/>
              <w:left w:val="nil"/>
              <w:bottom w:val="nil"/>
              <w:right w:val="nil"/>
            </w:tcBorders>
            <w:shd w:val="clear" w:color="auto" w:fill="FFFFFF"/>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trHeight w:val="308" w:hRule="atLeast"/>
        </w:trPr>
        <w:tc>
          <w:tcPr>
            <w:tcW w:w="5904"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收     入</w:t>
            </w:r>
          </w:p>
        </w:tc>
        <w:tc>
          <w:tcPr>
            <w:tcW w:w="8706" w:type="dxa"/>
            <w:gridSpan w:val="5"/>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     出</w:t>
            </w:r>
          </w:p>
        </w:tc>
      </w:tr>
      <w:tr>
        <w:tblPrEx>
          <w:tblCellMar>
            <w:top w:w="0" w:type="dxa"/>
            <w:left w:w="0" w:type="dxa"/>
            <w:bottom w:w="0" w:type="dxa"/>
            <w:right w:w="0" w:type="dxa"/>
          </w:tblCellMar>
        </w:tblPrEx>
        <w:trPr>
          <w:trHeight w:val="292" w:hRule="atLeast"/>
        </w:trPr>
        <w:tc>
          <w:tcPr>
            <w:tcW w:w="3912" w:type="dxa"/>
            <w:vMerge w:val="restart"/>
            <w:tcBorders>
              <w:top w:val="nil"/>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512" w:type="dxa"/>
            <w:vMerge w:val="restart"/>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1480" w:type="dxa"/>
            <w:vMerge w:val="restart"/>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w:t>
            </w:r>
          </w:p>
        </w:tc>
        <w:tc>
          <w:tcPr>
            <w:tcW w:w="3912" w:type="dxa"/>
            <w:vMerge w:val="restart"/>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512" w:type="dxa"/>
            <w:vMerge w:val="restart"/>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862" w:type="dxa"/>
            <w:vMerge w:val="restart"/>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480" w:type="dxa"/>
            <w:vMerge w:val="restart"/>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一般公共预算财政拨款</w:t>
            </w:r>
          </w:p>
        </w:tc>
        <w:tc>
          <w:tcPr>
            <w:tcW w:w="1940" w:type="dxa"/>
            <w:vMerge w:val="restart"/>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政府性基金预算财政拨款</w:t>
            </w:r>
          </w:p>
        </w:tc>
      </w:tr>
      <w:tr>
        <w:tblPrEx>
          <w:tblCellMar>
            <w:top w:w="0" w:type="dxa"/>
            <w:left w:w="0" w:type="dxa"/>
            <w:bottom w:w="0" w:type="dxa"/>
            <w:right w:w="0" w:type="dxa"/>
          </w:tblCellMar>
        </w:tblPrEx>
        <w:trPr>
          <w:trHeight w:val="615" w:hRule="atLeast"/>
        </w:trPr>
        <w:tc>
          <w:tcPr>
            <w:tcW w:w="3912" w:type="dxa"/>
            <w:vMerge w:val="continue"/>
            <w:tcBorders>
              <w:top w:val="nil"/>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12" w:type="dxa"/>
            <w:vMerge w:val="continue"/>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80" w:type="dxa"/>
            <w:vMerge w:val="continue"/>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912" w:type="dxa"/>
            <w:vMerge w:val="continue"/>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12" w:type="dxa"/>
            <w:vMerge w:val="continue"/>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62" w:type="dxa"/>
            <w:vMerge w:val="continue"/>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80" w:type="dxa"/>
            <w:vMerge w:val="continue"/>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940" w:type="dxa"/>
            <w:vMerge w:val="continue"/>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3912" w:type="dxa"/>
            <w:tcBorders>
              <w:top w:val="nil"/>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512"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80"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3912"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512"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62"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480"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940"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CellMar>
            <w:top w:w="0" w:type="dxa"/>
            <w:left w:w="0" w:type="dxa"/>
            <w:bottom w:w="0" w:type="dxa"/>
            <w:right w:w="0" w:type="dxa"/>
          </w:tblCellMar>
        </w:tblPrEx>
        <w:trPr>
          <w:trHeight w:val="308" w:hRule="atLeast"/>
        </w:trPr>
        <w:tc>
          <w:tcPr>
            <w:tcW w:w="3912" w:type="dxa"/>
            <w:tcBorders>
              <w:top w:val="nil"/>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一、一般公共预算财政拨款</w:t>
            </w:r>
          </w:p>
        </w:tc>
        <w:tc>
          <w:tcPr>
            <w:tcW w:w="512"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48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623.43</w:t>
            </w:r>
          </w:p>
        </w:tc>
        <w:tc>
          <w:tcPr>
            <w:tcW w:w="3912"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一、一般公共服务支出</w:t>
            </w:r>
          </w:p>
        </w:tc>
        <w:tc>
          <w:tcPr>
            <w:tcW w:w="512"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c>
          <w:tcPr>
            <w:tcW w:w="86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588.57</w:t>
            </w:r>
          </w:p>
        </w:tc>
        <w:tc>
          <w:tcPr>
            <w:tcW w:w="148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588.57</w:t>
            </w:r>
          </w:p>
        </w:tc>
        <w:tc>
          <w:tcPr>
            <w:tcW w:w="194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3912" w:type="dxa"/>
            <w:tcBorders>
              <w:top w:val="nil"/>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二、政府性基金预算财政拨款</w:t>
            </w:r>
          </w:p>
        </w:tc>
        <w:tc>
          <w:tcPr>
            <w:tcW w:w="512"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48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912"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二、外交支出</w:t>
            </w:r>
          </w:p>
        </w:tc>
        <w:tc>
          <w:tcPr>
            <w:tcW w:w="512"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w:t>
            </w:r>
          </w:p>
        </w:tc>
        <w:tc>
          <w:tcPr>
            <w:tcW w:w="86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8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94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3912" w:type="dxa"/>
            <w:tcBorders>
              <w:top w:val="nil"/>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12"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48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912"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三、国防支出</w:t>
            </w:r>
          </w:p>
        </w:tc>
        <w:tc>
          <w:tcPr>
            <w:tcW w:w="512"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86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8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94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3912" w:type="dxa"/>
            <w:tcBorders>
              <w:top w:val="nil"/>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12"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48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912"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四、公共安全支出</w:t>
            </w:r>
          </w:p>
        </w:tc>
        <w:tc>
          <w:tcPr>
            <w:tcW w:w="512"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w:t>
            </w:r>
          </w:p>
        </w:tc>
        <w:tc>
          <w:tcPr>
            <w:tcW w:w="86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8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94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3912" w:type="dxa"/>
            <w:tcBorders>
              <w:top w:val="nil"/>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12"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48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912"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五、教育支出</w:t>
            </w:r>
          </w:p>
        </w:tc>
        <w:tc>
          <w:tcPr>
            <w:tcW w:w="512"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w:t>
            </w:r>
          </w:p>
        </w:tc>
        <w:tc>
          <w:tcPr>
            <w:tcW w:w="86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8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94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3912" w:type="dxa"/>
            <w:tcBorders>
              <w:top w:val="nil"/>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12"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48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912"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六、科学技术支出</w:t>
            </w:r>
          </w:p>
        </w:tc>
        <w:tc>
          <w:tcPr>
            <w:tcW w:w="512"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w:t>
            </w:r>
          </w:p>
        </w:tc>
        <w:tc>
          <w:tcPr>
            <w:tcW w:w="86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8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94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3912" w:type="dxa"/>
            <w:tcBorders>
              <w:top w:val="nil"/>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12"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148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912"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七、文化体育与传媒支出</w:t>
            </w:r>
          </w:p>
        </w:tc>
        <w:tc>
          <w:tcPr>
            <w:tcW w:w="512"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w:t>
            </w:r>
          </w:p>
        </w:tc>
        <w:tc>
          <w:tcPr>
            <w:tcW w:w="86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8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94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3912" w:type="dxa"/>
            <w:tcBorders>
              <w:top w:val="nil"/>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12"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148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912"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八、社会保障和就业支出</w:t>
            </w:r>
          </w:p>
        </w:tc>
        <w:tc>
          <w:tcPr>
            <w:tcW w:w="512"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w:t>
            </w:r>
          </w:p>
        </w:tc>
        <w:tc>
          <w:tcPr>
            <w:tcW w:w="86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25.48</w:t>
            </w:r>
          </w:p>
        </w:tc>
        <w:tc>
          <w:tcPr>
            <w:tcW w:w="148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25.48</w:t>
            </w:r>
          </w:p>
        </w:tc>
        <w:tc>
          <w:tcPr>
            <w:tcW w:w="194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3912" w:type="dxa"/>
            <w:tcBorders>
              <w:top w:val="nil"/>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12"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148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912"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九、医疗卫生与计划生育支出</w:t>
            </w:r>
          </w:p>
        </w:tc>
        <w:tc>
          <w:tcPr>
            <w:tcW w:w="512"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w:t>
            </w:r>
          </w:p>
        </w:tc>
        <w:tc>
          <w:tcPr>
            <w:tcW w:w="86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9.38</w:t>
            </w:r>
          </w:p>
        </w:tc>
        <w:tc>
          <w:tcPr>
            <w:tcW w:w="148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9.38</w:t>
            </w:r>
          </w:p>
        </w:tc>
        <w:tc>
          <w:tcPr>
            <w:tcW w:w="194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3912" w:type="dxa"/>
            <w:tcBorders>
              <w:top w:val="nil"/>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12"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148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912"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十、节能环保支出</w:t>
            </w:r>
          </w:p>
        </w:tc>
        <w:tc>
          <w:tcPr>
            <w:tcW w:w="512"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w:t>
            </w:r>
          </w:p>
        </w:tc>
        <w:tc>
          <w:tcPr>
            <w:tcW w:w="86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8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94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3912" w:type="dxa"/>
            <w:tcBorders>
              <w:top w:val="nil"/>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12"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148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912"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十一、城乡社区支出</w:t>
            </w:r>
          </w:p>
        </w:tc>
        <w:tc>
          <w:tcPr>
            <w:tcW w:w="512"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w:t>
            </w:r>
          </w:p>
        </w:tc>
        <w:tc>
          <w:tcPr>
            <w:tcW w:w="86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8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94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3912" w:type="dxa"/>
            <w:tcBorders>
              <w:top w:val="nil"/>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12"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148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912"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十二、农林水支出</w:t>
            </w:r>
          </w:p>
        </w:tc>
        <w:tc>
          <w:tcPr>
            <w:tcW w:w="512"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w:t>
            </w:r>
          </w:p>
        </w:tc>
        <w:tc>
          <w:tcPr>
            <w:tcW w:w="86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8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94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3912" w:type="dxa"/>
            <w:tcBorders>
              <w:top w:val="nil"/>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12"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148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912"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十三、交通运输支出</w:t>
            </w:r>
          </w:p>
        </w:tc>
        <w:tc>
          <w:tcPr>
            <w:tcW w:w="512"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w:t>
            </w:r>
          </w:p>
        </w:tc>
        <w:tc>
          <w:tcPr>
            <w:tcW w:w="86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8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94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3912" w:type="dxa"/>
            <w:tcBorders>
              <w:top w:val="nil"/>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12"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148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912"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十四、资源勘探信息等支出</w:t>
            </w:r>
          </w:p>
        </w:tc>
        <w:tc>
          <w:tcPr>
            <w:tcW w:w="512"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w:t>
            </w:r>
          </w:p>
        </w:tc>
        <w:tc>
          <w:tcPr>
            <w:tcW w:w="86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8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94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3912" w:type="dxa"/>
            <w:tcBorders>
              <w:top w:val="nil"/>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12"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148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912"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十五、商业服务业等支出</w:t>
            </w:r>
          </w:p>
        </w:tc>
        <w:tc>
          <w:tcPr>
            <w:tcW w:w="512"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w:t>
            </w:r>
          </w:p>
        </w:tc>
        <w:tc>
          <w:tcPr>
            <w:tcW w:w="86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8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94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3912" w:type="dxa"/>
            <w:tcBorders>
              <w:top w:val="nil"/>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12"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148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912"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十六、金融支出</w:t>
            </w:r>
          </w:p>
        </w:tc>
        <w:tc>
          <w:tcPr>
            <w:tcW w:w="512"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w:t>
            </w:r>
          </w:p>
        </w:tc>
        <w:tc>
          <w:tcPr>
            <w:tcW w:w="86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8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94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3912" w:type="dxa"/>
            <w:tcBorders>
              <w:top w:val="nil"/>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12"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148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912"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十七、援助其他地区支出</w:t>
            </w:r>
          </w:p>
        </w:tc>
        <w:tc>
          <w:tcPr>
            <w:tcW w:w="512"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w:t>
            </w:r>
          </w:p>
        </w:tc>
        <w:tc>
          <w:tcPr>
            <w:tcW w:w="86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8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94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3912" w:type="dxa"/>
            <w:tcBorders>
              <w:top w:val="nil"/>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12"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148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912"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十八、国土海洋气象等支出</w:t>
            </w:r>
          </w:p>
        </w:tc>
        <w:tc>
          <w:tcPr>
            <w:tcW w:w="512"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w:t>
            </w:r>
          </w:p>
        </w:tc>
        <w:tc>
          <w:tcPr>
            <w:tcW w:w="86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8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94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3912" w:type="dxa"/>
            <w:tcBorders>
              <w:top w:val="nil"/>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12"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148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912"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十九、住房保障支出</w:t>
            </w:r>
          </w:p>
        </w:tc>
        <w:tc>
          <w:tcPr>
            <w:tcW w:w="512"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w:t>
            </w:r>
          </w:p>
        </w:tc>
        <w:tc>
          <w:tcPr>
            <w:tcW w:w="86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8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94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3912" w:type="dxa"/>
            <w:tcBorders>
              <w:top w:val="nil"/>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12"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148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912"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二十、粮油物资储备支出</w:t>
            </w:r>
          </w:p>
        </w:tc>
        <w:tc>
          <w:tcPr>
            <w:tcW w:w="512"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w:t>
            </w:r>
          </w:p>
        </w:tc>
        <w:tc>
          <w:tcPr>
            <w:tcW w:w="86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8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94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3912" w:type="dxa"/>
            <w:tcBorders>
              <w:top w:val="nil"/>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12"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148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912"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二十一、其他支出</w:t>
            </w:r>
          </w:p>
        </w:tc>
        <w:tc>
          <w:tcPr>
            <w:tcW w:w="512"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w:t>
            </w:r>
          </w:p>
        </w:tc>
        <w:tc>
          <w:tcPr>
            <w:tcW w:w="86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8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94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3912" w:type="dxa"/>
            <w:tcBorders>
              <w:top w:val="nil"/>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本年收入合计</w:t>
            </w:r>
          </w:p>
        </w:tc>
        <w:tc>
          <w:tcPr>
            <w:tcW w:w="512"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w:t>
            </w:r>
          </w:p>
        </w:tc>
        <w:tc>
          <w:tcPr>
            <w:tcW w:w="148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623.43</w:t>
            </w:r>
          </w:p>
        </w:tc>
        <w:tc>
          <w:tcPr>
            <w:tcW w:w="3912"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本年支出合计</w:t>
            </w:r>
          </w:p>
        </w:tc>
        <w:tc>
          <w:tcPr>
            <w:tcW w:w="512"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w:t>
            </w:r>
          </w:p>
        </w:tc>
        <w:tc>
          <w:tcPr>
            <w:tcW w:w="86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623.43</w:t>
            </w:r>
          </w:p>
        </w:tc>
        <w:tc>
          <w:tcPr>
            <w:tcW w:w="148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623.43</w:t>
            </w:r>
          </w:p>
        </w:tc>
        <w:tc>
          <w:tcPr>
            <w:tcW w:w="194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3912" w:type="dxa"/>
            <w:tcBorders>
              <w:top w:val="nil"/>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年初财政拨款结转和结余</w:t>
            </w:r>
          </w:p>
        </w:tc>
        <w:tc>
          <w:tcPr>
            <w:tcW w:w="512"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148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912"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年末财政拨款结转和结余</w:t>
            </w:r>
          </w:p>
        </w:tc>
        <w:tc>
          <w:tcPr>
            <w:tcW w:w="512"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86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8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94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3912" w:type="dxa"/>
            <w:tcBorders>
              <w:top w:val="nil"/>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一般公共预算财政拨款</w:t>
            </w:r>
          </w:p>
        </w:tc>
        <w:tc>
          <w:tcPr>
            <w:tcW w:w="512"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w:t>
            </w:r>
          </w:p>
        </w:tc>
        <w:tc>
          <w:tcPr>
            <w:tcW w:w="148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912"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12"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w:t>
            </w:r>
          </w:p>
        </w:tc>
        <w:tc>
          <w:tcPr>
            <w:tcW w:w="86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48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94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3912" w:type="dxa"/>
            <w:tcBorders>
              <w:top w:val="nil"/>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政府性基金预算财政拨款</w:t>
            </w:r>
          </w:p>
        </w:tc>
        <w:tc>
          <w:tcPr>
            <w:tcW w:w="512"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148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912"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12"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w:t>
            </w:r>
          </w:p>
        </w:tc>
        <w:tc>
          <w:tcPr>
            <w:tcW w:w="86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48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94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3912" w:type="dxa"/>
            <w:tcBorders>
              <w:top w:val="nil"/>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12"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w:t>
            </w:r>
          </w:p>
        </w:tc>
        <w:tc>
          <w:tcPr>
            <w:tcW w:w="148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912"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12"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w:t>
            </w:r>
          </w:p>
        </w:tc>
        <w:tc>
          <w:tcPr>
            <w:tcW w:w="86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48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94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3912" w:type="dxa"/>
            <w:tcBorders>
              <w:top w:val="nil"/>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512"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w:t>
            </w:r>
          </w:p>
        </w:tc>
        <w:tc>
          <w:tcPr>
            <w:tcW w:w="148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623.43</w:t>
            </w:r>
          </w:p>
        </w:tc>
        <w:tc>
          <w:tcPr>
            <w:tcW w:w="3912"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512"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w:t>
            </w:r>
          </w:p>
        </w:tc>
        <w:tc>
          <w:tcPr>
            <w:tcW w:w="86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623.43</w:t>
            </w:r>
          </w:p>
        </w:tc>
        <w:tc>
          <w:tcPr>
            <w:tcW w:w="148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623.43</w:t>
            </w:r>
          </w:p>
        </w:tc>
        <w:tc>
          <w:tcPr>
            <w:tcW w:w="194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662" w:hRule="atLeast"/>
        </w:trPr>
        <w:tc>
          <w:tcPr>
            <w:tcW w:w="14610" w:type="dxa"/>
            <w:gridSpan w:val="8"/>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注：本表反映部门本年度一般公共预算财政拨款和政府性基金预算财政拨款的总收支和年末结转结余情况。本表金额转换为万元时，因四舍五入可能存在尾差。</w:t>
            </w:r>
          </w:p>
        </w:tc>
      </w:tr>
    </w:tbl>
    <w:p>
      <w:pPr>
        <w:spacing w:after="0"/>
        <w:jc w:val="both"/>
        <w:rPr>
          <w:sz w:val="20"/>
        </w:rPr>
      </w:pPr>
    </w:p>
    <w:p>
      <w:pPr>
        <w:spacing w:after="0"/>
        <w:jc w:val="both"/>
        <w:rPr>
          <w:sz w:val="20"/>
        </w:rPr>
      </w:pPr>
    </w:p>
    <w:p>
      <w:pPr>
        <w:spacing w:after="0"/>
        <w:jc w:val="both"/>
        <w:rPr>
          <w:sz w:val="20"/>
        </w:rPr>
      </w:pPr>
    </w:p>
    <w:p>
      <w:pPr>
        <w:spacing w:after="0"/>
        <w:jc w:val="both"/>
        <w:rPr>
          <w:sz w:val="20"/>
        </w:rPr>
      </w:pPr>
    </w:p>
    <w:p>
      <w:pPr>
        <w:spacing w:after="0"/>
        <w:jc w:val="both"/>
        <w:rPr>
          <w:sz w:val="20"/>
        </w:rPr>
      </w:pPr>
    </w:p>
    <w:p>
      <w:pPr>
        <w:spacing w:after="0"/>
        <w:jc w:val="both"/>
        <w:rPr>
          <w:sz w:val="20"/>
        </w:rPr>
      </w:pPr>
    </w:p>
    <w:p>
      <w:pPr>
        <w:spacing w:after="0"/>
        <w:jc w:val="both"/>
        <w:rPr>
          <w:sz w:val="20"/>
        </w:rPr>
      </w:pPr>
    </w:p>
    <w:p>
      <w:pPr>
        <w:spacing w:after="0"/>
        <w:jc w:val="both"/>
        <w:rPr>
          <w:sz w:val="20"/>
        </w:rPr>
      </w:pPr>
    </w:p>
    <w:p>
      <w:pPr>
        <w:spacing w:after="0"/>
        <w:jc w:val="both"/>
        <w:rPr>
          <w:sz w:val="20"/>
        </w:rPr>
      </w:pPr>
    </w:p>
    <w:p>
      <w:pPr>
        <w:spacing w:after="0"/>
        <w:jc w:val="both"/>
        <w:rPr>
          <w:sz w:val="20"/>
        </w:rPr>
      </w:pPr>
    </w:p>
    <w:p>
      <w:pPr>
        <w:spacing w:after="0"/>
        <w:jc w:val="both"/>
        <w:rPr>
          <w:sz w:val="20"/>
        </w:rPr>
      </w:pPr>
    </w:p>
    <w:p>
      <w:pPr>
        <w:spacing w:after="0"/>
        <w:jc w:val="both"/>
        <w:rPr>
          <w:sz w:val="20"/>
        </w:rPr>
      </w:pPr>
    </w:p>
    <w:p>
      <w:pPr>
        <w:spacing w:after="0"/>
        <w:jc w:val="both"/>
        <w:rPr>
          <w:sz w:val="20"/>
        </w:rPr>
      </w:pPr>
    </w:p>
    <w:p>
      <w:pPr>
        <w:spacing w:after="0"/>
        <w:jc w:val="both"/>
        <w:rPr>
          <w:sz w:val="20"/>
        </w:rPr>
      </w:pPr>
    </w:p>
    <w:p>
      <w:pPr>
        <w:spacing w:after="0"/>
        <w:jc w:val="both"/>
        <w:rPr>
          <w:sz w:val="20"/>
        </w:rPr>
      </w:pPr>
    </w:p>
    <w:p>
      <w:pPr>
        <w:spacing w:after="0"/>
        <w:jc w:val="both"/>
        <w:rPr>
          <w:sz w:val="20"/>
        </w:rPr>
      </w:pPr>
    </w:p>
    <w:p>
      <w:pPr>
        <w:spacing w:after="0"/>
        <w:jc w:val="both"/>
        <w:rPr>
          <w:sz w:val="20"/>
        </w:rPr>
      </w:pPr>
    </w:p>
    <w:p>
      <w:pPr>
        <w:spacing w:after="0"/>
        <w:jc w:val="both"/>
        <w:rPr>
          <w:sz w:val="20"/>
        </w:rPr>
      </w:pPr>
    </w:p>
    <w:p>
      <w:pPr>
        <w:spacing w:after="0"/>
        <w:jc w:val="both"/>
        <w:rPr>
          <w:sz w:val="20"/>
        </w:rPr>
      </w:pPr>
    </w:p>
    <w:p>
      <w:pPr>
        <w:spacing w:after="0"/>
        <w:jc w:val="both"/>
        <w:rPr>
          <w:sz w:val="20"/>
        </w:rPr>
      </w:pPr>
    </w:p>
    <w:p>
      <w:pPr>
        <w:spacing w:after="0"/>
        <w:jc w:val="both"/>
        <w:rPr>
          <w:sz w:val="20"/>
        </w:rPr>
      </w:pPr>
    </w:p>
    <w:p>
      <w:pPr>
        <w:spacing w:after="0"/>
        <w:jc w:val="both"/>
        <w:rPr>
          <w:sz w:val="20"/>
        </w:rPr>
      </w:pPr>
    </w:p>
    <w:p>
      <w:pPr>
        <w:spacing w:after="0"/>
        <w:jc w:val="both"/>
        <w:rPr>
          <w:sz w:val="20"/>
        </w:rPr>
      </w:pPr>
    </w:p>
    <w:p>
      <w:pPr>
        <w:spacing w:after="0"/>
        <w:jc w:val="both"/>
        <w:rPr>
          <w:sz w:val="20"/>
        </w:rPr>
      </w:pPr>
    </w:p>
    <w:p>
      <w:pPr>
        <w:spacing w:after="0"/>
        <w:jc w:val="both"/>
        <w:rPr>
          <w:sz w:val="20"/>
        </w:rPr>
      </w:pPr>
    </w:p>
    <w:p>
      <w:pPr>
        <w:spacing w:after="0"/>
        <w:jc w:val="both"/>
        <w:rPr>
          <w:sz w:val="20"/>
        </w:rPr>
      </w:pPr>
    </w:p>
    <w:p>
      <w:pPr>
        <w:spacing w:after="0"/>
        <w:jc w:val="both"/>
        <w:rPr>
          <w:sz w:val="20"/>
        </w:rPr>
      </w:pPr>
    </w:p>
    <w:p>
      <w:pPr>
        <w:spacing w:after="0"/>
        <w:jc w:val="both"/>
        <w:rPr>
          <w:sz w:val="20"/>
        </w:rPr>
      </w:pPr>
    </w:p>
    <w:p>
      <w:pPr>
        <w:spacing w:after="0"/>
        <w:jc w:val="both"/>
        <w:rPr>
          <w:sz w:val="20"/>
        </w:rPr>
      </w:pPr>
    </w:p>
    <w:p>
      <w:pPr>
        <w:spacing w:after="0"/>
        <w:jc w:val="both"/>
        <w:rPr>
          <w:sz w:val="20"/>
        </w:rPr>
      </w:pPr>
    </w:p>
    <w:p>
      <w:pPr>
        <w:spacing w:after="0"/>
        <w:jc w:val="both"/>
        <w:rPr>
          <w:sz w:val="20"/>
        </w:rPr>
      </w:pPr>
    </w:p>
    <w:p>
      <w:pPr>
        <w:spacing w:after="0"/>
        <w:jc w:val="both"/>
        <w:rPr>
          <w:sz w:val="20"/>
        </w:rPr>
      </w:pPr>
    </w:p>
    <w:p>
      <w:pPr>
        <w:spacing w:after="0"/>
        <w:jc w:val="both"/>
        <w:rPr>
          <w:sz w:val="20"/>
        </w:rPr>
      </w:pPr>
    </w:p>
    <w:p>
      <w:pPr>
        <w:spacing w:after="0"/>
        <w:jc w:val="both"/>
        <w:rPr>
          <w:sz w:val="20"/>
        </w:rPr>
      </w:pPr>
    </w:p>
    <w:p>
      <w:pPr>
        <w:spacing w:after="0"/>
        <w:jc w:val="both"/>
        <w:rPr>
          <w:sz w:val="20"/>
        </w:rPr>
      </w:pPr>
    </w:p>
    <w:tbl>
      <w:tblPr>
        <w:tblStyle w:val="6"/>
        <w:tblW w:w="14250" w:type="dxa"/>
        <w:tblInd w:w="0" w:type="dxa"/>
        <w:shd w:val="clear" w:color="auto" w:fill="auto"/>
        <w:tblLayout w:type="fixed"/>
        <w:tblCellMar>
          <w:top w:w="0" w:type="dxa"/>
          <w:left w:w="0" w:type="dxa"/>
          <w:bottom w:w="0" w:type="dxa"/>
          <w:right w:w="0" w:type="dxa"/>
        </w:tblCellMar>
      </w:tblPr>
      <w:tblGrid>
        <w:gridCol w:w="3453"/>
        <w:gridCol w:w="43"/>
        <w:gridCol w:w="43"/>
        <w:gridCol w:w="4603"/>
        <w:gridCol w:w="1679"/>
        <w:gridCol w:w="1673"/>
        <w:gridCol w:w="2756"/>
      </w:tblGrid>
      <w:tr>
        <w:tblPrEx>
          <w:shd w:val="clear" w:color="auto" w:fill="auto"/>
          <w:tblCellMar>
            <w:top w:w="0" w:type="dxa"/>
            <w:left w:w="0" w:type="dxa"/>
            <w:bottom w:w="0" w:type="dxa"/>
            <w:right w:w="0" w:type="dxa"/>
          </w:tblCellMar>
        </w:tblPrEx>
        <w:trPr>
          <w:trHeight w:val="390" w:hRule="atLeast"/>
        </w:trPr>
        <w:tc>
          <w:tcPr>
            <w:tcW w:w="14250" w:type="dxa"/>
            <w:gridSpan w:val="7"/>
            <w:tcBorders>
              <w:top w:val="nil"/>
              <w:left w:val="nil"/>
              <w:bottom w:val="nil"/>
              <w:right w:val="nil"/>
            </w:tcBorders>
            <w:shd w:val="clear" w:color="auto" w:fill="FFFFFF"/>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一般公共预算财政拨款支出决算表</w:t>
            </w:r>
          </w:p>
        </w:tc>
      </w:tr>
      <w:tr>
        <w:tblPrEx>
          <w:tblCellMar>
            <w:top w:w="0" w:type="dxa"/>
            <w:left w:w="0" w:type="dxa"/>
            <w:bottom w:w="0" w:type="dxa"/>
            <w:right w:w="0" w:type="dxa"/>
          </w:tblCellMar>
        </w:tblPrEx>
        <w:trPr>
          <w:trHeight w:val="255" w:hRule="atLeast"/>
        </w:trPr>
        <w:tc>
          <w:tcPr>
            <w:tcW w:w="14250" w:type="dxa"/>
            <w:gridSpan w:val="7"/>
            <w:tcBorders>
              <w:top w:val="nil"/>
              <w:left w:val="nil"/>
              <w:bottom w:val="nil"/>
              <w:right w:val="nil"/>
            </w:tcBorders>
            <w:shd w:val="clear" w:color="auto" w:fill="FFFFFF"/>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公开05表</w:t>
            </w:r>
          </w:p>
        </w:tc>
      </w:tr>
      <w:tr>
        <w:tblPrEx>
          <w:tblCellMar>
            <w:top w:w="0" w:type="dxa"/>
            <w:left w:w="0" w:type="dxa"/>
            <w:bottom w:w="0" w:type="dxa"/>
            <w:right w:w="0" w:type="dxa"/>
          </w:tblCellMar>
        </w:tblPrEx>
        <w:trPr>
          <w:trHeight w:val="255" w:hRule="atLeast"/>
        </w:trPr>
        <w:tc>
          <w:tcPr>
            <w:tcW w:w="3453" w:type="dxa"/>
            <w:tcBorders>
              <w:top w:val="nil"/>
              <w:left w:val="nil"/>
              <w:bottom w:val="nil"/>
              <w:right w:val="nil"/>
            </w:tcBorders>
            <w:shd w:val="clear" w:color="auto" w:fill="FFFFFF"/>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部门：中共濮阳县委政法委员会</w:t>
            </w:r>
          </w:p>
        </w:tc>
        <w:tc>
          <w:tcPr>
            <w:tcW w:w="43" w:type="dxa"/>
            <w:tcBorders>
              <w:top w:val="nil"/>
              <w:left w:val="nil"/>
              <w:bottom w:val="nil"/>
              <w:right w:val="nil"/>
            </w:tcBorders>
            <w:shd w:val="clear" w:color="auto" w:fill="FFFFFF"/>
            <w:tcMar>
              <w:top w:w="15" w:type="dxa"/>
              <w:left w:w="15" w:type="dxa"/>
              <w:right w:w="15" w:type="dxa"/>
            </w:tcMar>
            <w:vAlign w:val="bottom"/>
          </w:tcPr>
          <w:p>
            <w:pPr>
              <w:rPr>
                <w:rFonts w:hint="eastAsia" w:ascii="Arial" w:hAnsi="Arial" w:cs="Arial"/>
                <w:i w:val="0"/>
                <w:color w:val="000000"/>
                <w:sz w:val="20"/>
                <w:szCs w:val="20"/>
                <w:u w:val="none"/>
              </w:rPr>
            </w:pPr>
          </w:p>
        </w:tc>
        <w:tc>
          <w:tcPr>
            <w:tcW w:w="43" w:type="dxa"/>
            <w:tcBorders>
              <w:top w:val="nil"/>
              <w:left w:val="nil"/>
              <w:bottom w:val="nil"/>
              <w:right w:val="nil"/>
            </w:tcBorders>
            <w:shd w:val="clear" w:color="auto" w:fill="FFFFFF"/>
            <w:tcMar>
              <w:top w:w="15" w:type="dxa"/>
              <w:left w:w="15" w:type="dxa"/>
              <w:right w:w="15" w:type="dxa"/>
            </w:tcMar>
            <w:vAlign w:val="bottom"/>
          </w:tcPr>
          <w:p>
            <w:pPr>
              <w:rPr>
                <w:rFonts w:hint="default" w:ascii="Arial" w:hAnsi="Arial" w:cs="Arial"/>
                <w:i w:val="0"/>
                <w:color w:val="000000"/>
                <w:sz w:val="20"/>
                <w:szCs w:val="20"/>
                <w:u w:val="none"/>
              </w:rPr>
            </w:pPr>
          </w:p>
        </w:tc>
        <w:tc>
          <w:tcPr>
            <w:tcW w:w="4603" w:type="dxa"/>
            <w:tcBorders>
              <w:top w:val="nil"/>
              <w:left w:val="nil"/>
              <w:bottom w:val="nil"/>
              <w:right w:val="nil"/>
            </w:tcBorders>
            <w:shd w:val="clear" w:color="auto" w:fill="FFFFFF"/>
            <w:tcMar>
              <w:top w:w="15" w:type="dxa"/>
              <w:left w:w="15" w:type="dxa"/>
              <w:right w:w="15" w:type="dxa"/>
            </w:tcMar>
            <w:vAlign w:val="bottom"/>
          </w:tcPr>
          <w:p>
            <w:pPr>
              <w:rPr>
                <w:rFonts w:hint="default" w:ascii="Arial" w:hAnsi="Arial" w:cs="Arial"/>
                <w:i w:val="0"/>
                <w:color w:val="000000"/>
                <w:sz w:val="20"/>
                <w:szCs w:val="20"/>
                <w:u w:val="none"/>
              </w:rPr>
            </w:pPr>
          </w:p>
        </w:tc>
        <w:tc>
          <w:tcPr>
            <w:tcW w:w="1679" w:type="dxa"/>
            <w:tcBorders>
              <w:top w:val="nil"/>
              <w:left w:val="nil"/>
              <w:bottom w:val="nil"/>
              <w:right w:val="nil"/>
            </w:tcBorders>
            <w:shd w:val="clear" w:color="auto" w:fill="FFFFFF"/>
            <w:tcMar>
              <w:top w:w="15" w:type="dxa"/>
              <w:left w:w="15" w:type="dxa"/>
              <w:right w:w="15" w:type="dxa"/>
            </w:tcMar>
            <w:vAlign w:val="bottom"/>
          </w:tcPr>
          <w:p>
            <w:pPr>
              <w:rPr>
                <w:rFonts w:hint="default" w:ascii="Arial" w:hAnsi="Arial" w:cs="Arial"/>
                <w:i w:val="0"/>
                <w:color w:val="000000"/>
                <w:sz w:val="20"/>
                <w:szCs w:val="20"/>
                <w:u w:val="none"/>
              </w:rPr>
            </w:pPr>
          </w:p>
        </w:tc>
        <w:tc>
          <w:tcPr>
            <w:tcW w:w="1673" w:type="dxa"/>
            <w:tcBorders>
              <w:top w:val="nil"/>
              <w:left w:val="nil"/>
              <w:bottom w:val="nil"/>
              <w:right w:val="nil"/>
            </w:tcBorders>
            <w:shd w:val="clear" w:color="auto" w:fill="FFFFFF"/>
            <w:tcMar>
              <w:top w:w="15" w:type="dxa"/>
              <w:left w:w="15" w:type="dxa"/>
              <w:right w:w="15" w:type="dxa"/>
            </w:tcMar>
            <w:vAlign w:val="bottom"/>
          </w:tcPr>
          <w:p>
            <w:pPr>
              <w:rPr>
                <w:rFonts w:hint="default" w:ascii="Arial" w:hAnsi="Arial" w:cs="Arial"/>
                <w:i w:val="0"/>
                <w:color w:val="000000"/>
                <w:sz w:val="20"/>
                <w:szCs w:val="20"/>
                <w:u w:val="none"/>
              </w:rPr>
            </w:pPr>
          </w:p>
        </w:tc>
        <w:tc>
          <w:tcPr>
            <w:tcW w:w="2756" w:type="dxa"/>
            <w:tcBorders>
              <w:top w:val="nil"/>
              <w:left w:val="nil"/>
              <w:bottom w:val="nil"/>
              <w:right w:val="nil"/>
            </w:tcBorders>
            <w:shd w:val="clear" w:color="auto" w:fill="FFFFFF"/>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trHeight w:val="308" w:hRule="atLeast"/>
        </w:trPr>
        <w:tc>
          <w:tcPr>
            <w:tcW w:w="8142" w:type="dxa"/>
            <w:gridSpan w:val="4"/>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6108" w:type="dxa"/>
            <w:gridSpan w:val="3"/>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w:t>
            </w:r>
          </w:p>
        </w:tc>
      </w:tr>
      <w:tr>
        <w:tblPrEx>
          <w:tblCellMar>
            <w:top w:w="0" w:type="dxa"/>
            <w:left w:w="0" w:type="dxa"/>
            <w:bottom w:w="0" w:type="dxa"/>
            <w:right w:w="0" w:type="dxa"/>
          </w:tblCellMar>
        </w:tblPrEx>
        <w:trPr>
          <w:trHeight w:val="308" w:hRule="atLeast"/>
        </w:trPr>
        <w:tc>
          <w:tcPr>
            <w:tcW w:w="3539" w:type="dxa"/>
            <w:gridSpan w:val="3"/>
            <w:vMerge w:val="restart"/>
            <w:tcBorders>
              <w:top w:val="nil"/>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4603" w:type="dxa"/>
            <w:vMerge w:val="restart"/>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679" w:type="dxa"/>
            <w:vMerge w:val="restart"/>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1673" w:type="dxa"/>
            <w:vMerge w:val="restart"/>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2756" w:type="dxa"/>
            <w:vMerge w:val="restart"/>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r>
      <w:tr>
        <w:tblPrEx>
          <w:tblCellMar>
            <w:top w:w="0" w:type="dxa"/>
            <w:left w:w="0" w:type="dxa"/>
            <w:bottom w:w="0" w:type="dxa"/>
            <w:right w:w="0" w:type="dxa"/>
          </w:tblCellMar>
        </w:tblPrEx>
        <w:trPr>
          <w:trHeight w:val="277" w:hRule="atLeast"/>
        </w:trPr>
        <w:tc>
          <w:tcPr>
            <w:tcW w:w="3539" w:type="dxa"/>
            <w:gridSpan w:val="3"/>
            <w:vMerge w:val="continue"/>
            <w:tcBorders>
              <w:top w:val="nil"/>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603" w:type="dxa"/>
            <w:vMerge w:val="continue"/>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79" w:type="dxa"/>
            <w:vMerge w:val="continue"/>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73" w:type="dxa"/>
            <w:vMerge w:val="continue"/>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756" w:type="dxa"/>
            <w:vMerge w:val="continue"/>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3539" w:type="dxa"/>
            <w:gridSpan w:val="3"/>
            <w:vMerge w:val="continue"/>
            <w:tcBorders>
              <w:top w:val="nil"/>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603" w:type="dxa"/>
            <w:vMerge w:val="continue"/>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79" w:type="dxa"/>
            <w:vMerge w:val="continue"/>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73" w:type="dxa"/>
            <w:vMerge w:val="continue"/>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756" w:type="dxa"/>
            <w:vMerge w:val="continue"/>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8142" w:type="dxa"/>
            <w:gridSpan w:val="4"/>
            <w:tcBorders>
              <w:top w:val="nil"/>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1679"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673"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2756"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r>
      <w:tr>
        <w:tblPrEx>
          <w:tblCellMar>
            <w:top w:w="0" w:type="dxa"/>
            <w:left w:w="0" w:type="dxa"/>
            <w:bottom w:w="0" w:type="dxa"/>
            <w:right w:w="0" w:type="dxa"/>
          </w:tblCellMar>
        </w:tblPrEx>
        <w:trPr>
          <w:trHeight w:val="308" w:hRule="atLeast"/>
        </w:trPr>
        <w:tc>
          <w:tcPr>
            <w:tcW w:w="8142" w:type="dxa"/>
            <w:gridSpan w:val="4"/>
            <w:tcBorders>
              <w:top w:val="nil"/>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679"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623.43</w:t>
            </w:r>
          </w:p>
        </w:tc>
        <w:tc>
          <w:tcPr>
            <w:tcW w:w="167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271.01</w:t>
            </w:r>
          </w:p>
        </w:tc>
        <w:tc>
          <w:tcPr>
            <w:tcW w:w="2756"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352.42</w:t>
            </w:r>
          </w:p>
        </w:tc>
      </w:tr>
      <w:tr>
        <w:tblPrEx>
          <w:tblCellMar>
            <w:top w:w="0" w:type="dxa"/>
            <w:left w:w="0" w:type="dxa"/>
            <w:bottom w:w="0" w:type="dxa"/>
            <w:right w:w="0" w:type="dxa"/>
          </w:tblCellMar>
        </w:tblPrEx>
        <w:trPr>
          <w:trHeight w:val="308" w:hRule="atLeast"/>
        </w:trPr>
        <w:tc>
          <w:tcPr>
            <w:tcW w:w="3539" w:type="dxa"/>
            <w:gridSpan w:val="3"/>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w:t>
            </w:r>
          </w:p>
        </w:tc>
        <w:tc>
          <w:tcPr>
            <w:tcW w:w="46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一般公共服务支出</w:t>
            </w:r>
          </w:p>
        </w:tc>
        <w:tc>
          <w:tcPr>
            <w:tcW w:w="1679"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588.57</w:t>
            </w:r>
          </w:p>
        </w:tc>
        <w:tc>
          <w:tcPr>
            <w:tcW w:w="167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236.15</w:t>
            </w:r>
          </w:p>
        </w:tc>
        <w:tc>
          <w:tcPr>
            <w:tcW w:w="2756"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352.42</w:t>
            </w:r>
          </w:p>
        </w:tc>
      </w:tr>
      <w:tr>
        <w:tblPrEx>
          <w:tblCellMar>
            <w:top w:w="0" w:type="dxa"/>
            <w:left w:w="0" w:type="dxa"/>
            <w:bottom w:w="0" w:type="dxa"/>
            <w:right w:w="0" w:type="dxa"/>
          </w:tblCellMar>
        </w:tblPrEx>
        <w:trPr>
          <w:trHeight w:val="308" w:hRule="atLeast"/>
        </w:trPr>
        <w:tc>
          <w:tcPr>
            <w:tcW w:w="3539" w:type="dxa"/>
            <w:gridSpan w:val="3"/>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20131</w:t>
            </w:r>
          </w:p>
        </w:tc>
        <w:tc>
          <w:tcPr>
            <w:tcW w:w="46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党委办公厅（室）及相关机构事务</w:t>
            </w:r>
          </w:p>
        </w:tc>
        <w:tc>
          <w:tcPr>
            <w:tcW w:w="1679"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588.57</w:t>
            </w:r>
          </w:p>
        </w:tc>
        <w:tc>
          <w:tcPr>
            <w:tcW w:w="167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236.15</w:t>
            </w:r>
          </w:p>
        </w:tc>
        <w:tc>
          <w:tcPr>
            <w:tcW w:w="2756"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352.42</w:t>
            </w:r>
          </w:p>
        </w:tc>
      </w:tr>
      <w:tr>
        <w:tblPrEx>
          <w:tblCellMar>
            <w:top w:w="0" w:type="dxa"/>
            <w:left w:w="0" w:type="dxa"/>
            <w:bottom w:w="0" w:type="dxa"/>
            <w:right w:w="0" w:type="dxa"/>
          </w:tblCellMar>
        </w:tblPrEx>
        <w:trPr>
          <w:trHeight w:val="308" w:hRule="atLeast"/>
        </w:trPr>
        <w:tc>
          <w:tcPr>
            <w:tcW w:w="3539" w:type="dxa"/>
            <w:gridSpan w:val="3"/>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2013101</w:t>
            </w:r>
          </w:p>
        </w:tc>
        <w:tc>
          <w:tcPr>
            <w:tcW w:w="46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行政运行</w:t>
            </w:r>
          </w:p>
        </w:tc>
        <w:tc>
          <w:tcPr>
            <w:tcW w:w="1679"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236.15</w:t>
            </w:r>
          </w:p>
        </w:tc>
        <w:tc>
          <w:tcPr>
            <w:tcW w:w="167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236.15</w:t>
            </w:r>
          </w:p>
        </w:tc>
        <w:tc>
          <w:tcPr>
            <w:tcW w:w="2756"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3539" w:type="dxa"/>
            <w:gridSpan w:val="3"/>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2013102</w:t>
            </w:r>
          </w:p>
        </w:tc>
        <w:tc>
          <w:tcPr>
            <w:tcW w:w="46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一般行政管理事务</w:t>
            </w:r>
          </w:p>
        </w:tc>
        <w:tc>
          <w:tcPr>
            <w:tcW w:w="1679"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352.42</w:t>
            </w:r>
          </w:p>
        </w:tc>
        <w:tc>
          <w:tcPr>
            <w:tcW w:w="167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756"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352.42</w:t>
            </w:r>
          </w:p>
        </w:tc>
      </w:tr>
      <w:tr>
        <w:tblPrEx>
          <w:tblCellMar>
            <w:top w:w="0" w:type="dxa"/>
            <w:left w:w="0" w:type="dxa"/>
            <w:bottom w:w="0" w:type="dxa"/>
            <w:right w:w="0" w:type="dxa"/>
          </w:tblCellMar>
        </w:tblPrEx>
        <w:trPr>
          <w:trHeight w:val="308" w:hRule="atLeast"/>
        </w:trPr>
        <w:tc>
          <w:tcPr>
            <w:tcW w:w="3539" w:type="dxa"/>
            <w:gridSpan w:val="3"/>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w:t>
            </w:r>
          </w:p>
        </w:tc>
        <w:tc>
          <w:tcPr>
            <w:tcW w:w="46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社会保障和就业支出</w:t>
            </w:r>
          </w:p>
        </w:tc>
        <w:tc>
          <w:tcPr>
            <w:tcW w:w="1679"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25.48</w:t>
            </w:r>
          </w:p>
        </w:tc>
        <w:tc>
          <w:tcPr>
            <w:tcW w:w="167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25.48</w:t>
            </w:r>
          </w:p>
        </w:tc>
        <w:tc>
          <w:tcPr>
            <w:tcW w:w="2756"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3539" w:type="dxa"/>
            <w:gridSpan w:val="3"/>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w:t>
            </w:r>
          </w:p>
        </w:tc>
        <w:tc>
          <w:tcPr>
            <w:tcW w:w="46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行政事业单位离退休</w:t>
            </w:r>
          </w:p>
        </w:tc>
        <w:tc>
          <w:tcPr>
            <w:tcW w:w="1679"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25.48</w:t>
            </w:r>
          </w:p>
        </w:tc>
        <w:tc>
          <w:tcPr>
            <w:tcW w:w="167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25.48</w:t>
            </w:r>
          </w:p>
        </w:tc>
        <w:tc>
          <w:tcPr>
            <w:tcW w:w="2756"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3539" w:type="dxa"/>
            <w:gridSpan w:val="3"/>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2080505</w:t>
            </w:r>
          </w:p>
        </w:tc>
        <w:tc>
          <w:tcPr>
            <w:tcW w:w="46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机关事业单位基本养老保险缴费支出</w:t>
            </w:r>
          </w:p>
        </w:tc>
        <w:tc>
          <w:tcPr>
            <w:tcW w:w="1679"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24.49</w:t>
            </w:r>
          </w:p>
        </w:tc>
        <w:tc>
          <w:tcPr>
            <w:tcW w:w="167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24.49</w:t>
            </w:r>
          </w:p>
        </w:tc>
        <w:tc>
          <w:tcPr>
            <w:tcW w:w="2756"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3539" w:type="dxa"/>
            <w:gridSpan w:val="3"/>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2080599</w:t>
            </w:r>
          </w:p>
        </w:tc>
        <w:tc>
          <w:tcPr>
            <w:tcW w:w="46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其他行政事业单位离退休支出</w:t>
            </w:r>
          </w:p>
        </w:tc>
        <w:tc>
          <w:tcPr>
            <w:tcW w:w="1679"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0.99</w:t>
            </w:r>
          </w:p>
        </w:tc>
        <w:tc>
          <w:tcPr>
            <w:tcW w:w="167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0.99</w:t>
            </w:r>
          </w:p>
        </w:tc>
        <w:tc>
          <w:tcPr>
            <w:tcW w:w="2756"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3539" w:type="dxa"/>
            <w:gridSpan w:val="3"/>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w:t>
            </w:r>
          </w:p>
        </w:tc>
        <w:tc>
          <w:tcPr>
            <w:tcW w:w="46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医疗卫生与计划生育支出</w:t>
            </w:r>
          </w:p>
        </w:tc>
        <w:tc>
          <w:tcPr>
            <w:tcW w:w="1679"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9.38</w:t>
            </w:r>
          </w:p>
        </w:tc>
        <w:tc>
          <w:tcPr>
            <w:tcW w:w="167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9.38</w:t>
            </w:r>
          </w:p>
        </w:tc>
        <w:tc>
          <w:tcPr>
            <w:tcW w:w="2756"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3539" w:type="dxa"/>
            <w:gridSpan w:val="3"/>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w:t>
            </w:r>
          </w:p>
        </w:tc>
        <w:tc>
          <w:tcPr>
            <w:tcW w:w="46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行政事业单位医疗</w:t>
            </w:r>
          </w:p>
        </w:tc>
        <w:tc>
          <w:tcPr>
            <w:tcW w:w="1679"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9.38</w:t>
            </w:r>
          </w:p>
        </w:tc>
        <w:tc>
          <w:tcPr>
            <w:tcW w:w="167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9.38</w:t>
            </w:r>
          </w:p>
        </w:tc>
        <w:tc>
          <w:tcPr>
            <w:tcW w:w="2756"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3539" w:type="dxa"/>
            <w:gridSpan w:val="3"/>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2101101</w:t>
            </w:r>
          </w:p>
        </w:tc>
        <w:tc>
          <w:tcPr>
            <w:tcW w:w="46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行政单位医疗</w:t>
            </w:r>
          </w:p>
        </w:tc>
        <w:tc>
          <w:tcPr>
            <w:tcW w:w="1679"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4.35</w:t>
            </w:r>
          </w:p>
        </w:tc>
        <w:tc>
          <w:tcPr>
            <w:tcW w:w="167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4.35</w:t>
            </w:r>
          </w:p>
        </w:tc>
        <w:tc>
          <w:tcPr>
            <w:tcW w:w="2756"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3539" w:type="dxa"/>
            <w:gridSpan w:val="3"/>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2101102</w:t>
            </w:r>
          </w:p>
        </w:tc>
        <w:tc>
          <w:tcPr>
            <w:tcW w:w="46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事业单位医疗</w:t>
            </w:r>
          </w:p>
        </w:tc>
        <w:tc>
          <w:tcPr>
            <w:tcW w:w="1679"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5.03</w:t>
            </w:r>
          </w:p>
        </w:tc>
        <w:tc>
          <w:tcPr>
            <w:tcW w:w="167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5.03</w:t>
            </w:r>
          </w:p>
        </w:tc>
        <w:tc>
          <w:tcPr>
            <w:tcW w:w="2756"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4250" w:type="dxa"/>
            <w:gridSpan w:val="7"/>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注：本表反映部门本年度一般公共预算财政拨款支出情况。本表金额转换为万元时，因四舍五入可能存在尾差。</w:t>
            </w:r>
          </w:p>
        </w:tc>
      </w:tr>
    </w:tbl>
    <w:p>
      <w:pPr>
        <w:spacing w:after="0"/>
        <w:jc w:val="both"/>
        <w:rPr>
          <w:sz w:val="20"/>
        </w:rPr>
      </w:pPr>
    </w:p>
    <w:p>
      <w:pPr>
        <w:spacing w:after="0"/>
        <w:jc w:val="both"/>
        <w:rPr>
          <w:sz w:val="20"/>
        </w:rPr>
      </w:pPr>
    </w:p>
    <w:p>
      <w:pPr>
        <w:spacing w:after="0"/>
        <w:jc w:val="both"/>
        <w:rPr>
          <w:sz w:val="20"/>
        </w:rPr>
      </w:pPr>
    </w:p>
    <w:p>
      <w:pPr>
        <w:spacing w:after="0"/>
        <w:jc w:val="both"/>
        <w:rPr>
          <w:sz w:val="20"/>
        </w:rPr>
      </w:pPr>
    </w:p>
    <w:p>
      <w:pPr>
        <w:spacing w:after="0"/>
        <w:jc w:val="both"/>
        <w:rPr>
          <w:sz w:val="20"/>
        </w:rPr>
      </w:pPr>
    </w:p>
    <w:p>
      <w:pPr>
        <w:spacing w:after="0"/>
        <w:jc w:val="both"/>
        <w:rPr>
          <w:sz w:val="20"/>
        </w:rPr>
      </w:pPr>
    </w:p>
    <w:p>
      <w:pPr>
        <w:spacing w:after="0"/>
        <w:jc w:val="both"/>
        <w:rPr>
          <w:sz w:val="20"/>
        </w:rPr>
      </w:pPr>
    </w:p>
    <w:p>
      <w:pPr>
        <w:spacing w:after="0"/>
        <w:jc w:val="both"/>
        <w:rPr>
          <w:sz w:val="20"/>
        </w:rPr>
      </w:pPr>
    </w:p>
    <w:p>
      <w:pPr>
        <w:spacing w:after="0"/>
        <w:jc w:val="both"/>
        <w:rPr>
          <w:sz w:val="20"/>
        </w:rPr>
      </w:pPr>
    </w:p>
    <w:p>
      <w:pPr>
        <w:spacing w:after="0"/>
        <w:jc w:val="both"/>
        <w:rPr>
          <w:sz w:val="20"/>
        </w:rPr>
      </w:pPr>
    </w:p>
    <w:p>
      <w:pPr>
        <w:spacing w:after="0"/>
        <w:jc w:val="both"/>
        <w:rPr>
          <w:sz w:val="20"/>
        </w:rPr>
      </w:pPr>
    </w:p>
    <w:p>
      <w:pPr>
        <w:spacing w:after="0"/>
        <w:jc w:val="both"/>
        <w:rPr>
          <w:sz w:val="20"/>
        </w:rPr>
      </w:pPr>
    </w:p>
    <w:tbl>
      <w:tblPr>
        <w:tblStyle w:val="6"/>
        <w:tblW w:w="14698" w:type="dxa"/>
        <w:tblInd w:w="0" w:type="dxa"/>
        <w:shd w:val="clear" w:color="auto" w:fill="auto"/>
        <w:tblLayout w:type="fixed"/>
        <w:tblCellMar>
          <w:top w:w="0" w:type="dxa"/>
          <w:left w:w="0" w:type="dxa"/>
          <w:bottom w:w="0" w:type="dxa"/>
          <w:right w:w="0" w:type="dxa"/>
        </w:tblCellMar>
      </w:tblPr>
      <w:tblGrid>
        <w:gridCol w:w="991"/>
        <w:gridCol w:w="3363"/>
        <w:gridCol w:w="1050"/>
        <w:gridCol w:w="787"/>
        <w:gridCol w:w="2038"/>
        <w:gridCol w:w="892"/>
        <w:gridCol w:w="733"/>
        <w:gridCol w:w="3660"/>
        <w:gridCol w:w="1184"/>
      </w:tblGrid>
      <w:tr>
        <w:tblPrEx>
          <w:shd w:val="clear" w:color="auto" w:fill="auto"/>
          <w:tblCellMar>
            <w:top w:w="0" w:type="dxa"/>
            <w:left w:w="0" w:type="dxa"/>
            <w:bottom w:w="0" w:type="dxa"/>
            <w:right w:w="0" w:type="dxa"/>
          </w:tblCellMar>
        </w:tblPrEx>
        <w:trPr>
          <w:trHeight w:val="390" w:hRule="atLeast"/>
        </w:trPr>
        <w:tc>
          <w:tcPr>
            <w:tcW w:w="14698" w:type="dxa"/>
            <w:gridSpan w:val="9"/>
            <w:tcBorders>
              <w:top w:val="nil"/>
              <w:left w:val="nil"/>
              <w:bottom w:val="nil"/>
              <w:right w:val="nil"/>
            </w:tcBorders>
            <w:shd w:val="clear" w:color="auto" w:fill="FFFFFF"/>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一般公共预算财政拨款基本支出决算表</w:t>
            </w:r>
          </w:p>
        </w:tc>
      </w:tr>
      <w:tr>
        <w:tblPrEx>
          <w:tblCellMar>
            <w:top w:w="0" w:type="dxa"/>
            <w:left w:w="0" w:type="dxa"/>
            <w:bottom w:w="0" w:type="dxa"/>
            <w:right w:w="0" w:type="dxa"/>
          </w:tblCellMar>
        </w:tblPrEx>
        <w:trPr>
          <w:trHeight w:val="285" w:hRule="atLeast"/>
        </w:trPr>
        <w:tc>
          <w:tcPr>
            <w:tcW w:w="14698" w:type="dxa"/>
            <w:gridSpan w:val="9"/>
            <w:tcBorders>
              <w:top w:val="nil"/>
              <w:left w:val="nil"/>
              <w:bottom w:val="nil"/>
              <w:right w:val="nil"/>
            </w:tcBorders>
            <w:shd w:val="clear" w:color="auto" w:fill="FFFFFF"/>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公开06表</w:t>
            </w:r>
          </w:p>
        </w:tc>
      </w:tr>
      <w:tr>
        <w:tblPrEx>
          <w:tblCellMar>
            <w:top w:w="0" w:type="dxa"/>
            <w:left w:w="0" w:type="dxa"/>
            <w:bottom w:w="0" w:type="dxa"/>
            <w:right w:w="0" w:type="dxa"/>
          </w:tblCellMar>
        </w:tblPrEx>
        <w:trPr>
          <w:trHeight w:val="255" w:hRule="atLeast"/>
        </w:trPr>
        <w:tc>
          <w:tcPr>
            <w:tcW w:w="991" w:type="dxa"/>
            <w:tcBorders>
              <w:top w:val="nil"/>
              <w:left w:val="nil"/>
              <w:bottom w:val="nil"/>
              <w:right w:val="nil"/>
            </w:tcBorders>
            <w:shd w:val="clear" w:color="auto" w:fill="FFFFFF"/>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部门：中共濮阳县委政法委员会</w:t>
            </w:r>
          </w:p>
        </w:tc>
        <w:tc>
          <w:tcPr>
            <w:tcW w:w="3363" w:type="dxa"/>
            <w:tcBorders>
              <w:top w:val="nil"/>
              <w:left w:val="nil"/>
              <w:bottom w:val="nil"/>
              <w:right w:val="nil"/>
            </w:tcBorders>
            <w:shd w:val="clear" w:color="auto" w:fill="FFFFFF"/>
            <w:tcMar>
              <w:top w:w="15" w:type="dxa"/>
              <w:left w:w="15" w:type="dxa"/>
              <w:right w:w="15" w:type="dxa"/>
            </w:tcMar>
            <w:vAlign w:val="bottom"/>
          </w:tcPr>
          <w:p>
            <w:pPr>
              <w:rPr>
                <w:rFonts w:hint="eastAsia" w:ascii="Arial" w:hAnsi="Arial" w:cs="Arial"/>
                <w:i w:val="0"/>
                <w:color w:val="000000"/>
                <w:sz w:val="20"/>
                <w:szCs w:val="20"/>
                <w:u w:val="none"/>
              </w:rPr>
            </w:pPr>
          </w:p>
        </w:tc>
        <w:tc>
          <w:tcPr>
            <w:tcW w:w="1050" w:type="dxa"/>
            <w:tcBorders>
              <w:top w:val="nil"/>
              <w:left w:val="nil"/>
              <w:bottom w:val="nil"/>
              <w:right w:val="nil"/>
            </w:tcBorders>
            <w:shd w:val="clear" w:color="auto" w:fill="FFFFFF"/>
            <w:tcMar>
              <w:top w:w="15" w:type="dxa"/>
              <w:left w:w="15" w:type="dxa"/>
              <w:right w:w="15" w:type="dxa"/>
            </w:tcMar>
            <w:vAlign w:val="bottom"/>
          </w:tcPr>
          <w:p>
            <w:pPr>
              <w:rPr>
                <w:rFonts w:hint="default" w:ascii="Arial" w:hAnsi="Arial" w:cs="Arial"/>
                <w:i w:val="0"/>
                <w:color w:val="000000"/>
                <w:sz w:val="20"/>
                <w:szCs w:val="20"/>
                <w:u w:val="none"/>
              </w:rPr>
            </w:pPr>
          </w:p>
        </w:tc>
        <w:tc>
          <w:tcPr>
            <w:tcW w:w="787" w:type="dxa"/>
            <w:tcBorders>
              <w:top w:val="nil"/>
              <w:left w:val="nil"/>
              <w:bottom w:val="nil"/>
              <w:right w:val="nil"/>
            </w:tcBorders>
            <w:shd w:val="clear" w:color="auto" w:fill="FFFFFF"/>
            <w:tcMar>
              <w:top w:w="15" w:type="dxa"/>
              <w:left w:w="15" w:type="dxa"/>
              <w:right w:w="15" w:type="dxa"/>
            </w:tcMar>
            <w:vAlign w:val="bottom"/>
          </w:tcPr>
          <w:p>
            <w:pPr>
              <w:rPr>
                <w:rFonts w:hint="default" w:ascii="Arial" w:hAnsi="Arial" w:cs="Arial"/>
                <w:i w:val="0"/>
                <w:color w:val="000000"/>
                <w:sz w:val="20"/>
                <w:szCs w:val="20"/>
                <w:u w:val="none"/>
              </w:rPr>
            </w:pPr>
          </w:p>
        </w:tc>
        <w:tc>
          <w:tcPr>
            <w:tcW w:w="2038" w:type="dxa"/>
            <w:tcBorders>
              <w:top w:val="nil"/>
              <w:left w:val="nil"/>
              <w:bottom w:val="nil"/>
              <w:right w:val="nil"/>
            </w:tcBorders>
            <w:shd w:val="clear" w:color="auto" w:fill="FFFFFF"/>
            <w:tcMar>
              <w:top w:w="15" w:type="dxa"/>
              <w:left w:w="15" w:type="dxa"/>
              <w:right w:w="15" w:type="dxa"/>
            </w:tcMar>
            <w:vAlign w:val="bottom"/>
          </w:tcPr>
          <w:p>
            <w:pPr>
              <w:rPr>
                <w:rFonts w:hint="default" w:ascii="Arial" w:hAnsi="Arial" w:cs="Arial"/>
                <w:i w:val="0"/>
                <w:color w:val="000000"/>
                <w:sz w:val="20"/>
                <w:szCs w:val="20"/>
                <w:u w:val="none"/>
              </w:rPr>
            </w:pPr>
          </w:p>
        </w:tc>
        <w:tc>
          <w:tcPr>
            <w:tcW w:w="892" w:type="dxa"/>
            <w:tcBorders>
              <w:top w:val="nil"/>
              <w:left w:val="nil"/>
              <w:bottom w:val="nil"/>
              <w:right w:val="nil"/>
            </w:tcBorders>
            <w:shd w:val="clear" w:color="auto" w:fill="FFFFFF"/>
            <w:tcMar>
              <w:top w:w="15" w:type="dxa"/>
              <w:left w:w="15" w:type="dxa"/>
              <w:right w:w="15" w:type="dxa"/>
            </w:tcMar>
            <w:vAlign w:val="bottom"/>
          </w:tcPr>
          <w:p>
            <w:pPr>
              <w:rPr>
                <w:rFonts w:hint="default" w:ascii="Arial" w:hAnsi="Arial" w:cs="Arial"/>
                <w:i w:val="0"/>
                <w:color w:val="000000"/>
                <w:sz w:val="20"/>
                <w:szCs w:val="20"/>
                <w:u w:val="none"/>
              </w:rPr>
            </w:pPr>
          </w:p>
        </w:tc>
        <w:tc>
          <w:tcPr>
            <w:tcW w:w="733" w:type="dxa"/>
            <w:tcBorders>
              <w:top w:val="nil"/>
              <w:left w:val="nil"/>
              <w:bottom w:val="nil"/>
              <w:right w:val="nil"/>
            </w:tcBorders>
            <w:shd w:val="clear" w:color="auto" w:fill="FFFFFF"/>
            <w:tcMar>
              <w:top w:w="15" w:type="dxa"/>
              <w:left w:w="15" w:type="dxa"/>
              <w:right w:w="15" w:type="dxa"/>
            </w:tcMar>
            <w:vAlign w:val="bottom"/>
          </w:tcPr>
          <w:p>
            <w:pPr>
              <w:rPr>
                <w:rFonts w:hint="default" w:ascii="Arial" w:hAnsi="Arial" w:cs="Arial"/>
                <w:i w:val="0"/>
                <w:color w:val="000000"/>
                <w:sz w:val="20"/>
                <w:szCs w:val="20"/>
                <w:u w:val="none"/>
              </w:rPr>
            </w:pPr>
          </w:p>
        </w:tc>
        <w:tc>
          <w:tcPr>
            <w:tcW w:w="3660" w:type="dxa"/>
            <w:tcBorders>
              <w:top w:val="nil"/>
              <w:left w:val="nil"/>
              <w:bottom w:val="nil"/>
              <w:right w:val="nil"/>
            </w:tcBorders>
            <w:shd w:val="clear" w:color="auto" w:fill="FFFFFF"/>
            <w:tcMar>
              <w:top w:w="15" w:type="dxa"/>
              <w:left w:w="15" w:type="dxa"/>
              <w:right w:w="15" w:type="dxa"/>
            </w:tcMar>
            <w:vAlign w:val="bottom"/>
          </w:tcPr>
          <w:p>
            <w:pPr>
              <w:rPr>
                <w:rFonts w:hint="default" w:ascii="Arial" w:hAnsi="Arial" w:cs="Arial"/>
                <w:i w:val="0"/>
                <w:color w:val="000000"/>
                <w:sz w:val="20"/>
                <w:szCs w:val="20"/>
                <w:u w:val="none"/>
              </w:rPr>
            </w:pPr>
          </w:p>
        </w:tc>
        <w:tc>
          <w:tcPr>
            <w:tcW w:w="1184" w:type="dxa"/>
            <w:tcBorders>
              <w:top w:val="nil"/>
              <w:left w:val="nil"/>
              <w:bottom w:val="nil"/>
              <w:right w:val="nil"/>
            </w:tcBorders>
            <w:shd w:val="clear" w:color="auto" w:fill="FFFFFF"/>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金额单位：万元</w:t>
            </w:r>
          </w:p>
        </w:tc>
      </w:tr>
      <w:tr>
        <w:tblPrEx>
          <w:tblCellMar>
            <w:top w:w="0" w:type="dxa"/>
            <w:left w:w="0" w:type="dxa"/>
            <w:bottom w:w="0" w:type="dxa"/>
            <w:right w:w="0" w:type="dxa"/>
          </w:tblCellMar>
        </w:tblPrEx>
        <w:trPr>
          <w:trHeight w:val="308" w:hRule="atLeast"/>
        </w:trPr>
        <w:tc>
          <w:tcPr>
            <w:tcW w:w="5404"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人员经费</w:t>
            </w:r>
          </w:p>
        </w:tc>
        <w:tc>
          <w:tcPr>
            <w:tcW w:w="9294" w:type="dxa"/>
            <w:gridSpan w:val="6"/>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公用经费</w:t>
            </w:r>
          </w:p>
        </w:tc>
      </w:tr>
      <w:tr>
        <w:tblPrEx>
          <w:tblCellMar>
            <w:top w:w="0" w:type="dxa"/>
            <w:left w:w="0" w:type="dxa"/>
            <w:bottom w:w="0" w:type="dxa"/>
            <w:right w:w="0" w:type="dxa"/>
          </w:tblCellMar>
        </w:tblPrEx>
        <w:trPr>
          <w:trHeight w:val="308" w:hRule="atLeast"/>
        </w:trPr>
        <w:tc>
          <w:tcPr>
            <w:tcW w:w="991" w:type="dxa"/>
            <w:vMerge w:val="restart"/>
            <w:tcBorders>
              <w:top w:val="nil"/>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科目编码</w:t>
            </w:r>
          </w:p>
        </w:tc>
        <w:tc>
          <w:tcPr>
            <w:tcW w:w="3363" w:type="dxa"/>
            <w:vMerge w:val="restart"/>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050" w:type="dxa"/>
            <w:vMerge w:val="restart"/>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决算数</w:t>
            </w:r>
          </w:p>
        </w:tc>
        <w:tc>
          <w:tcPr>
            <w:tcW w:w="787" w:type="dxa"/>
            <w:vMerge w:val="restart"/>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科目编码</w:t>
            </w:r>
          </w:p>
        </w:tc>
        <w:tc>
          <w:tcPr>
            <w:tcW w:w="2038" w:type="dxa"/>
            <w:vMerge w:val="restart"/>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892" w:type="dxa"/>
            <w:vMerge w:val="restart"/>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决算数</w:t>
            </w:r>
          </w:p>
        </w:tc>
        <w:tc>
          <w:tcPr>
            <w:tcW w:w="733" w:type="dxa"/>
            <w:vMerge w:val="restart"/>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科目编码</w:t>
            </w:r>
          </w:p>
        </w:tc>
        <w:tc>
          <w:tcPr>
            <w:tcW w:w="3660" w:type="dxa"/>
            <w:vMerge w:val="restart"/>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184" w:type="dxa"/>
            <w:vMerge w:val="restart"/>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决算数</w:t>
            </w:r>
          </w:p>
        </w:tc>
      </w:tr>
      <w:tr>
        <w:tblPrEx>
          <w:tblCellMar>
            <w:top w:w="0" w:type="dxa"/>
            <w:left w:w="0" w:type="dxa"/>
            <w:bottom w:w="0" w:type="dxa"/>
            <w:right w:w="0" w:type="dxa"/>
          </w:tblCellMar>
        </w:tblPrEx>
        <w:trPr>
          <w:trHeight w:val="308" w:hRule="atLeast"/>
        </w:trPr>
        <w:tc>
          <w:tcPr>
            <w:tcW w:w="991" w:type="dxa"/>
            <w:vMerge w:val="continue"/>
            <w:tcBorders>
              <w:top w:val="nil"/>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363" w:type="dxa"/>
            <w:vMerge w:val="continue"/>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50" w:type="dxa"/>
            <w:vMerge w:val="continue"/>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87" w:type="dxa"/>
            <w:vMerge w:val="continue"/>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038" w:type="dxa"/>
            <w:vMerge w:val="continue"/>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92" w:type="dxa"/>
            <w:vMerge w:val="continue"/>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33" w:type="dxa"/>
            <w:vMerge w:val="continue"/>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660" w:type="dxa"/>
            <w:vMerge w:val="continue"/>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84" w:type="dxa"/>
            <w:vMerge w:val="continue"/>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991" w:type="dxa"/>
            <w:tcBorders>
              <w:top w:val="nil"/>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w:t>
            </w:r>
          </w:p>
        </w:tc>
        <w:tc>
          <w:tcPr>
            <w:tcW w:w="3363"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工资福利支出</w:t>
            </w:r>
          </w:p>
        </w:tc>
        <w:tc>
          <w:tcPr>
            <w:tcW w:w="105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228.71</w:t>
            </w:r>
          </w:p>
        </w:tc>
        <w:tc>
          <w:tcPr>
            <w:tcW w:w="787"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w:t>
            </w:r>
          </w:p>
        </w:tc>
        <w:tc>
          <w:tcPr>
            <w:tcW w:w="2038"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商品和服务支出</w:t>
            </w:r>
          </w:p>
        </w:tc>
        <w:tc>
          <w:tcPr>
            <w:tcW w:w="89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41.31</w:t>
            </w:r>
          </w:p>
        </w:tc>
        <w:tc>
          <w:tcPr>
            <w:tcW w:w="733"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307</w:t>
            </w:r>
          </w:p>
        </w:tc>
        <w:tc>
          <w:tcPr>
            <w:tcW w:w="3660"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债务利息及费用支出</w:t>
            </w:r>
          </w:p>
        </w:tc>
        <w:tc>
          <w:tcPr>
            <w:tcW w:w="118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991" w:type="dxa"/>
            <w:tcBorders>
              <w:top w:val="nil"/>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30101</w:t>
            </w:r>
          </w:p>
        </w:tc>
        <w:tc>
          <w:tcPr>
            <w:tcW w:w="3363"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基本工资</w:t>
            </w:r>
          </w:p>
        </w:tc>
        <w:tc>
          <w:tcPr>
            <w:tcW w:w="105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92.22</w:t>
            </w:r>
          </w:p>
        </w:tc>
        <w:tc>
          <w:tcPr>
            <w:tcW w:w="787"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30201</w:t>
            </w:r>
          </w:p>
        </w:tc>
        <w:tc>
          <w:tcPr>
            <w:tcW w:w="2038"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办公费</w:t>
            </w:r>
          </w:p>
        </w:tc>
        <w:tc>
          <w:tcPr>
            <w:tcW w:w="89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8.00</w:t>
            </w:r>
          </w:p>
        </w:tc>
        <w:tc>
          <w:tcPr>
            <w:tcW w:w="733"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30701</w:t>
            </w:r>
          </w:p>
        </w:tc>
        <w:tc>
          <w:tcPr>
            <w:tcW w:w="3660"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国内债务付息</w:t>
            </w:r>
          </w:p>
        </w:tc>
        <w:tc>
          <w:tcPr>
            <w:tcW w:w="118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991" w:type="dxa"/>
            <w:tcBorders>
              <w:top w:val="nil"/>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30102</w:t>
            </w:r>
          </w:p>
        </w:tc>
        <w:tc>
          <w:tcPr>
            <w:tcW w:w="3363"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津贴补贴</w:t>
            </w:r>
          </w:p>
        </w:tc>
        <w:tc>
          <w:tcPr>
            <w:tcW w:w="105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102.62</w:t>
            </w:r>
          </w:p>
        </w:tc>
        <w:tc>
          <w:tcPr>
            <w:tcW w:w="787"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30202</w:t>
            </w:r>
          </w:p>
        </w:tc>
        <w:tc>
          <w:tcPr>
            <w:tcW w:w="2038"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印刷费</w:t>
            </w:r>
          </w:p>
        </w:tc>
        <w:tc>
          <w:tcPr>
            <w:tcW w:w="89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6.00</w:t>
            </w:r>
          </w:p>
        </w:tc>
        <w:tc>
          <w:tcPr>
            <w:tcW w:w="733"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30702</w:t>
            </w:r>
          </w:p>
        </w:tc>
        <w:tc>
          <w:tcPr>
            <w:tcW w:w="3660"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国外债务付息</w:t>
            </w:r>
          </w:p>
        </w:tc>
        <w:tc>
          <w:tcPr>
            <w:tcW w:w="118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991" w:type="dxa"/>
            <w:tcBorders>
              <w:top w:val="nil"/>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30103</w:t>
            </w:r>
          </w:p>
        </w:tc>
        <w:tc>
          <w:tcPr>
            <w:tcW w:w="3363"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奖金</w:t>
            </w:r>
          </w:p>
        </w:tc>
        <w:tc>
          <w:tcPr>
            <w:tcW w:w="105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87"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30203</w:t>
            </w:r>
          </w:p>
        </w:tc>
        <w:tc>
          <w:tcPr>
            <w:tcW w:w="2038"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咨询费</w:t>
            </w:r>
          </w:p>
        </w:tc>
        <w:tc>
          <w:tcPr>
            <w:tcW w:w="89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33"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w:t>
            </w:r>
          </w:p>
        </w:tc>
        <w:tc>
          <w:tcPr>
            <w:tcW w:w="3660"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资本性支出</w:t>
            </w:r>
          </w:p>
        </w:tc>
        <w:tc>
          <w:tcPr>
            <w:tcW w:w="118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991" w:type="dxa"/>
            <w:tcBorders>
              <w:top w:val="nil"/>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30106</w:t>
            </w:r>
          </w:p>
        </w:tc>
        <w:tc>
          <w:tcPr>
            <w:tcW w:w="3363"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伙食补助费</w:t>
            </w:r>
          </w:p>
        </w:tc>
        <w:tc>
          <w:tcPr>
            <w:tcW w:w="105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87"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30204</w:t>
            </w:r>
          </w:p>
        </w:tc>
        <w:tc>
          <w:tcPr>
            <w:tcW w:w="2038"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手续费</w:t>
            </w:r>
          </w:p>
        </w:tc>
        <w:tc>
          <w:tcPr>
            <w:tcW w:w="89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33"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31001</w:t>
            </w:r>
          </w:p>
        </w:tc>
        <w:tc>
          <w:tcPr>
            <w:tcW w:w="3660"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房屋建筑物购建</w:t>
            </w:r>
          </w:p>
        </w:tc>
        <w:tc>
          <w:tcPr>
            <w:tcW w:w="118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991" w:type="dxa"/>
            <w:tcBorders>
              <w:top w:val="nil"/>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30107</w:t>
            </w:r>
          </w:p>
        </w:tc>
        <w:tc>
          <w:tcPr>
            <w:tcW w:w="3363"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绩效工资</w:t>
            </w:r>
          </w:p>
        </w:tc>
        <w:tc>
          <w:tcPr>
            <w:tcW w:w="105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87"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30205</w:t>
            </w:r>
          </w:p>
        </w:tc>
        <w:tc>
          <w:tcPr>
            <w:tcW w:w="2038"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水费</w:t>
            </w:r>
          </w:p>
        </w:tc>
        <w:tc>
          <w:tcPr>
            <w:tcW w:w="89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33"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31002</w:t>
            </w:r>
          </w:p>
        </w:tc>
        <w:tc>
          <w:tcPr>
            <w:tcW w:w="3660"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办公设备购置</w:t>
            </w:r>
          </w:p>
        </w:tc>
        <w:tc>
          <w:tcPr>
            <w:tcW w:w="118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991" w:type="dxa"/>
            <w:tcBorders>
              <w:top w:val="nil"/>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30108</w:t>
            </w:r>
          </w:p>
        </w:tc>
        <w:tc>
          <w:tcPr>
            <w:tcW w:w="3363"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机关事业单位基本养老保险缴费</w:t>
            </w:r>
          </w:p>
        </w:tc>
        <w:tc>
          <w:tcPr>
            <w:tcW w:w="105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24.49</w:t>
            </w:r>
          </w:p>
        </w:tc>
        <w:tc>
          <w:tcPr>
            <w:tcW w:w="787"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30206</w:t>
            </w:r>
          </w:p>
        </w:tc>
        <w:tc>
          <w:tcPr>
            <w:tcW w:w="2038"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电费</w:t>
            </w:r>
          </w:p>
        </w:tc>
        <w:tc>
          <w:tcPr>
            <w:tcW w:w="89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33"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31003</w:t>
            </w:r>
          </w:p>
        </w:tc>
        <w:tc>
          <w:tcPr>
            <w:tcW w:w="3660"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专用设备购置</w:t>
            </w:r>
          </w:p>
        </w:tc>
        <w:tc>
          <w:tcPr>
            <w:tcW w:w="118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991" w:type="dxa"/>
            <w:tcBorders>
              <w:top w:val="nil"/>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30109</w:t>
            </w:r>
          </w:p>
        </w:tc>
        <w:tc>
          <w:tcPr>
            <w:tcW w:w="3363"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职业年金缴费</w:t>
            </w:r>
          </w:p>
        </w:tc>
        <w:tc>
          <w:tcPr>
            <w:tcW w:w="105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87"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30207</w:t>
            </w:r>
          </w:p>
        </w:tc>
        <w:tc>
          <w:tcPr>
            <w:tcW w:w="2038"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邮电费</w:t>
            </w:r>
          </w:p>
        </w:tc>
        <w:tc>
          <w:tcPr>
            <w:tcW w:w="89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733"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31005</w:t>
            </w:r>
          </w:p>
        </w:tc>
        <w:tc>
          <w:tcPr>
            <w:tcW w:w="3660"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基础设施建设</w:t>
            </w:r>
          </w:p>
        </w:tc>
        <w:tc>
          <w:tcPr>
            <w:tcW w:w="118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991" w:type="dxa"/>
            <w:tcBorders>
              <w:top w:val="nil"/>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30110</w:t>
            </w:r>
          </w:p>
        </w:tc>
        <w:tc>
          <w:tcPr>
            <w:tcW w:w="3363"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职工基本医疗保险缴费</w:t>
            </w:r>
          </w:p>
        </w:tc>
        <w:tc>
          <w:tcPr>
            <w:tcW w:w="105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87"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30208</w:t>
            </w:r>
          </w:p>
        </w:tc>
        <w:tc>
          <w:tcPr>
            <w:tcW w:w="2038"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取暖费</w:t>
            </w:r>
          </w:p>
        </w:tc>
        <w:tc>
          <w:tcPr>
            <w:tcW w:w="89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33"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31006</w:t>
            </w:r>
          </w:p>
        </w:tc>
        <w:tc>
          <w:tcPr>
            <w:tcW w:w="3660"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大型修缮</w:t>
            </w:r>
          </w:p>
        </w:tc>
        <w:tc>
          <w:tcPr>
            <w:tcW w:w="118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991" w:type="dxa"/>
            <w:tcBorders>
              <w:top w:val="nil"/>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30111</w:t>
            </w:r>
          </w:p>
        </w:tc>
        <w:tc>
          <w:tcPr>
            <w:tcW w:w="3363"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公务员医疗补助缴费</w:t>
            </w:r>
          </w:p>
        </w:tc>
        <w:tc>
          <w:tcPr>
            <w:tcW w:w="105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87"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30209</w:t>
            </w:r>
          </w:p>
        </w:tc>
        <w:tc>
          <w:tcPr>
            <w:tcW w:w="2038"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物业管理费</w:t>
            </w:r>
          </w:p>
        </w:tc>
        <w:tc>
          <w:tcPr>
            <w:tcW w:w="89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33"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31007</w:t>
            </w:r>
          </w:p>
        </w:tc>
        <w:tc>
          <w:tcPr>
            <w:tcW w:w="3660"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信息网络及软件购置更新</w:t>
            </w:r>
          </w:p>
        </w:tc>
        <w:tc>
          <w:tcPr>
            <w:tcW w:w="118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991" w:type="dxa"/>
            <w:tcBorders>
              <w:top w:val="nil"/>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30112</w:t>
            </w:r>
          </w:p>
        </w:tc>
        <w:tc>
          <w:tcPr>
            <w:tcW w:w="3363"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其他社会保障缴费</w:t>
            </w:r>
          </w:p>
        </w:tc>
        <w:tc>
          <w:tcPr>
            <w:tcW w:w="105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9.38</w:t>
            </w:r>
          </w:p>
        </w:tc>
        <w:tc>
          <w:tcPr>
            <w:tcW w:w="787"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30211</w:t>
            </w:r>
          </w:p>
        </w:tc>
        <w:tc>
          <w:tcPr>
            <w:tcW w:w="2038"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差旅费</w:t>
            </w:r>
          </w:p>
        </w:tc>
        <w:tc>
          <w:tcPr>
            <w:tcW w:w="89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5.00</w:t>
            </w:r>
          </w:p>
        </w:tc>
        <w:tc>
          <w:tcPr>
            <w:tcW w:w="733"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31008</w:t>
            </w:r>
          </w:p>
        </w:tc>
        <w:tc>
          <w:tcPr>
            <w:tcW w:w="3660"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物资储备</w:t>
            </w:r>
          </w:p>
        </w:tc>
        <w:tc>
          <w:tcPr>
            <w:tcW w:w="118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991" w:type="dxa"/>
            <w:tcBorders>
              <w:top w:val="nil"/>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30113</w:t>
            </w:r>
          </w:p>
        </w:tc>
        <w:tc>
          <w:tcPr>
            <w:tcW w:w="3363"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住房公积金</w:t>
            </w:r>
          </w:p>
        </w:tc>
        <w:tc>
          <w:tcPr>
            <w:tcW w:w="105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87"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30212</w:t>
            </w:r>
          </w:p>
        </w:tc>
        <w:tc>
          <w:tcPr>
            <w:tcW w:w="2038"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因公出国（境）费用</w:t>
            </w:r>
          </w:p>
        </w:tc>
        <w:tc>
          <w:tcPr>
            <w:tcW w:w="89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33"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31009</w:t>
            </w:r>
          </w:p>
        </w:tc>
        <w:tc>
          <w:tcPr>
            <w:tcW w:w="3660"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土地补偿</w:t>
            </w:r>
          </w:p>
        </w:tc>
        <w:tc>
          <w:tcPr>
            <w:tcW w:w="118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991" w:type="dxa"/>
            <w:tcBorders>
              <w:top w:val="nil"/>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30114</w:t>
            </w:r>
          </w:p>
        </w:tc>
        <w:tc>
          <w:tcPr>
            <w:tcW w:w="3363"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医疗费</w:t>
            </w:r>
          </w:p>
        </w:tc>
        <w:tc>
          <w:tcPr>
            <w:tcW w:w="105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87"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30213</w:t>
            </w:r>
          </w:p>
        </w:tc>
        <w:tc>
          <w:tcPr>
            <w:tcW w:w="2038"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维修（护）费</w:t>
            </w:r>
          </w:p>
        </w:tc>
        <w:tc>
          <w:tcPr>
            <w:tcW w:w="89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33"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31010</w:t>
            </w:r>
          </w:p>
        </w:tc>
        <w:tc>
          <w:tcPr>
            <w:tcW w:w="3660"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安置补助</w:t>
            </w:r>
          </w:p>
        </w:tc>
        <w:tc>
          <w:tcPr>
            <w:tcW w:w="118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991" w:type="dxa"/>
            <w:tcBorders>
              <w:top w:val="nil"/>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30199</w:t>
            </w:r>
          </w:p>
        </w:tc>
        <w:tc>
          <w:tcPr>
            <w:tcW w:w="3363"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其他工资福利支出</w:t>
            </w:r>
          </w:p>
        </w:tc>
        <w:tc>
          <w:tcPr>
            <w:tcW w:w="105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87"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30214</w:t>
            </w:r>
          </w:p>
        </w:tc>
        <w:tc>
          <w:tcPr>
            <w:tcW w:w="2038"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租赁费</w:t>
            </w:r>
          </w:p>
        </w:tc>
        <w:tc>
          <w:tcPr>
            <w:tcW w:w="89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33"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31011</w:t>
            </w:r>
          </w:p>
        </w:tc>
        <w:tc>
          <w:tcPr>
            <w:tcW w:w="3660"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地上附着物和青苗补偿</w:t>
            </w:r>
          </w:p>
        </w:tc>
        <w:tc>
          <w:tcPr>
            <w:tcW w:w="118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991" w:type="dxa"/>
            <w:tcBorders>
              <w:top w:val="nil"/>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w:t>
            </w:r>
          </w:p>
        </w:tc>
        <w:tc>
          <w:tcPr>
            <w:tcW w:w="3363"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对个人和家庭的补助</w:t>
            </w:r>
          </w:p>
        </w:tc>
        <w:tc>
          <w:tcPr>
            <w:tcW w:w="105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0.99</w:t>
            </w:r>
          </w:p>
        </w:tc>
        <w:tc>
          <w:tcPr>
            <w:tcW w:w="787"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30215</w:t>
            </w:r>
          </w:p>
        </w:tc>
        <w:tc>
          <w:tcPr>
            <w:tcW w:w="2038"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会议费</w:t>
            </w:r>
          </w:p>
        </w:tc>
        <w:tc>
          <w:tcPr>
            <w:tcW w:w="89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1.50</w:t>
            </w:r>
          </w:p>
        </w:tc>
        <w:tc>
          <w:tcPr>
            <w:tcW w:w="733"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31012</w:t>
            </w:r>
          </w:p>
        </w:tc>
        <w:tc>
          <w:tcPr>
            <w:tcW w:w="3660"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拆迁补偿</w:t>
            </w:r>
          </w:p>
        </w:tc>
        <w:tc>
          <w:tcPr>
            <w:tcW w:w="118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991" w:type="dxa"/>
            <w:tcBorders>
              <w:top w:val="nil"/>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30301</w:t>
            </w:r>
          </w:p>
        </w:tc>
        <w:tc>
          <w:tcPr>
            <w:tcW w:w="3363"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离休费</w:t>
            </w:r>
          </w:p>
        </w:tc>
        <w:tc>
          <w:tcPr>
            <w:tcW w:w="105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87"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30216</w:t>
            </w:r>
          </w:p>
        </w:tc>
        <w:tc>
          <w:tcPr>
            <w:tcW w:w="2038"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培训费</w:t>
            </w:r>
          </w:p>
        </w:tc>
        <w:tc>
          <w:tcPr>
            <w:tcW w:w="89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w:t>
            </w:r>
          </w:p>
        </w:tc>
        <w:tc>
          <w:tcPr>
            <w:tcW w:w="733"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31013</w:t>
            </w:r>
          </w:p>
        </w:tc>
        <w:tc>
          <w:tcPr>
            <w:tcW w:w="3660"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公务用车购置</w:t>
            </w:r>
          </w:p>
        </w:tc>
        <w:tc>
          <w:tcPr>
            <w:tcW w:w="118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991" w:type="dxa"/>
            <w:tcBorders>
              <w:top w:val="nil"/>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30302</w:t>
            </w:r>
          </w:p>
        </w:tc>
        <w:tc>
          <w:tcPr>
            <w:tcW w:w="3363"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退休费</w:t>
            </w:r>
          </w:p>
        </w:tc>
        <w:tc>
          <w:tcPr>
            <w:tcW w:w="105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87"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30217</w:t>
            </w:r>
          </w:p>
        </w:tc>
        <w:tc>
          <w:tcPr>
            <w:tcW w:w="2038"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公务接待费</w:t>
            </w:r>
          </w:p>
        </w:tc>
        <w:tc>
          <w:tcPr>
            <w:tcW w:w="89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0.50</w:t>
            </w:r>
          </w:p>
        </w:tc>
        <w:tc>
          <w:tcPr>
            <w:tcW w:w="733"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31019</w:t>
            </w:r>
          </w:p>
        </w:tc>
        <w:tc>
          <w:tcPr>
            <w:tcW w:w="3660"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其他交通工具购置</w:t>
            </w:r>
          </w:p>
        </w:tc>
        <w:tc>
          <w:tcPr>
            <w:tcW w:w="118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991" w:type="dxa"/>
            <w:tcBorders>
              <w:top w:val="nil"/>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30303</w:t>
            </w:r>
          </w:p>
        </w:tc>
        <w:tc>
          <w:tcPr>
            <w:tcW w:w="3363"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退职（役）费</w:t>
            </w:r>
          </w:p>
        </w:tc>
        <w:tc>
          <w:tcPr>
            <w:tcW w:w="105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87"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30218</w:t>
            </w:r>
          </w:p>
        </w:tc>
        <w:tc>
          <w:tcPr>
            <w:tcW w:w="2038"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专用材料费</w:t>
            </w:r>
          </w:p>
        </w:tc>
        <w:tc>
          <w:tcPr>
            <w:tcW w:w="89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33"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31021</w:t>
            </w:r>
          </w:p>
        </w:tc>
        <w:tc>
          <w:tcPr>
            <w:tcW w:w="3660"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文物和陈列品购置</w:t>
            </w:r>
          </w:p>
        </w:tc>
        <w:tc>
          <w:tcPr>
            <w:tcW w:w="118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991" w:type="dxa"/>
            <w:tcBorders>
              <w:top w:val="nil"/>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30304</w:t>
            </w:r>
          </w:p>
        </w:tc>
        <w:tc>
          <w:tcPr>
            <w:tcW w:w="3363"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抚恤金</w:t>
            </w:r>
          </w:p>
        </w:tc>
        <w:tc>
          <w:tcPr>
            <w:tcW w:w="105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87"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30224</w:t>
            </w:r>
          </w:p>
        </w:tc>
        <w:tc>
          <w:tcPr>
            <w:tcW w:w="2038"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被装购置费</w:t>
            </w:r>
          </w:p>
        </w:tc>
        <w:tc>
          <w:tcPr>
            <w:tcW w:w="89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33"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31022</w:t>
            </w:r>
          </w:p>
        </w:tc>
        <w:tc>
          <w:tcPr>
            <w:tcW w:w="3660"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无形资产购置</w:t>
            </w:r>
          </w:p>
        </w:tc>
        <w:tc>
          <w:tcPr>
            <w:tcW w:w="118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991" w:type="dxa"/>
            <w:tcBorders>
              <w:top w:val="nil"/>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30305</w:t>
            </w:r>
          </w:p>
        </w:tc>
        <w:tc>
          <w:tcPr>
            <w:tcW w:w="3363"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生活补助</w:t>
            </w:r>
          </w:p>
        </w:tc>
        <w:tc>
          <w:tcPr>
            <w:tcW w:w="105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0.99</w:t>
            </w:r>
          </w:p>
        </w:tc>
        <w:tc>
          <w:tcPr>
            <w:tcW w:w="787"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30225</w:t>
            </w:r>
          </w:p>
        </w:tc>
        <w:tc>
          <w:tcPr>
            <w:tcW w:w="2038"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专用燃料费</w:t>
            </w:r>
          </w:p>
        </w:tc>
        <w:tc>
          <w:tcPr>
            <w:tcW w:w="89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33"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31099</w:t>
            </w:r>
          </w:p>
        </w:tc>
        <w:tc>
          <w:tcPr>
            <w:tcW w:w="3660"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其他资本性支出</w:t>
            </w:r>
          </w:p>
        </w:tc>
        <w:tc>
          <w:tcPr>
            <w:tcW w:w="118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991" w:type="dxa"/>
            <w:tcBorders>
              <w:top w:val="nil"/>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30306</w:t>
            </w:r>
          </w:p>
        </w:tc>
        <w:tc>
          <w:tcPr>
            <w:tcW w:w="3363"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救济费</w:t>
            </w:r>
          </w:p>
        </w:tc>
        <w:tc>
          <w:tcPr>
            <w:tcW w:w="105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87"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30226</w:t>
            </w:r>
          </w:p>
        </w:tc>
        <w:tc>
          <w:tcPr>
            <w:tcW w:w="2038"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劳务费</w:t>
            </w:r>
          </w:p>
        </w:tc>
        <w:tc>
          <w:tcPr>
            <w:tcW w:w="89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33"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w:t>
            </w:r>
          </w:p>
        </w:tc>
        <w:tc>
          <w:tcPr>
            <w:tcW w:w="3660"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其他支出</w:t>
            </w:r>
          </w:p>
        </w:tc>
        <w:tc>
          <w:tcPr>
            <w:tcW w:w="118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991" w:type="dxa"/>
            <w:tcBorders>
              <w:top w:val="nil"/>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30307</w:t>
            </w:r>
          </w:p>
        </w:tc>
        <w:tc>
          <w:tcPr>
            <w:tcW w:w="3363"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医疗费补助</w:t>
            </w:r>
          </w:p>
        </w:tc>
        <w:tc>
          <w:tcPr>
            <w:tcW w:w="105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87"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30227</w:t>
            </w:r>
          </w:p>
        </w:tc>
        <w:tc>
          <w:tcPr>
            <w:tcW w:w="2038"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委托业务费</w:t>
            </w:r>
          </w:p>
        </w:tc>
        <w:tc>
          <w:tcPr>
            <w:tcW w:w="89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33"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39906</w:t>
            </w:r>
          </w:p>
        </w:tc>
        <w:tc>
          <w:tcPr>
            <w:tcW w:w="3660"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赠与</w:t>
            </w:r>
          </w:p>
        </w:tc>
        <w:tc>
          <w:tcPr>
            <w:tcW w:w="118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991" w:type="dxa"/>
            <w:tcBorders>
              <w:top w:val="nil"/>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30308</w:t>
            </w:r>
          </w:p>
        </w:tc>
        <w:tc>
          <w:tcPr>
            <w:tcW w:w="3363"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助学金</w:t>
            </w:r>
          </w:p>
        </w:tc>
        <w:tc>
          <w:tcPr>
            <w:tcW w:w="105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87"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30228</w:t>
            </w:r>
          </w:p>
        </w:tc>
        <w:tc>
          <w:tcPr>
            <w:tcW w:w="2038"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工会经费</w:t>
            </w:r>
          </w:p>
        </w:tc>
        <w:tc>
          <w:tcPr>
            <w:tcW w:w="89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w:t>
            </w:r>
          </w:p>
        </w:tc>
        <w:tc>
          <w:tcPr>
            <w:tcW w:w="733"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39907</w:t>
            </w:r>
          </w:p>
        </w:tc>
        <w:tc>
          <w:tcPr>
            <w:tcW w:w="3660"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国家赔偿费用支出</w:t>
            </w:r>
          </w:p>
        </w:tc>
        <w:tc>
          <w:tcPr>
            <w:tcW w:w="118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991" w:type="dxa"/>
            <w:tcBorders>
              <w:top w:val="nil"/>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30309</w:t>
            </w:r>
          </w:p>
        </w:tc>
        <w:tc>
          <w:tcPr>
            <w:tcW w:w="3363"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奖励金</w:t>
            </w:r>
          </w:p>
        </w:tc>
        <w:tc>
          <w:tcPr>
            <w:tcW w:w="105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87"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30229</w:t>
            </w:r>
          </w:p>
        </w:tc>
        <w:tc>
          <w:tcPr>
            <w:tcW w:w="2038"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福利费</w:t>
            </w:r>
          </w:p>
        </w:tc>
        <w:tc>
          <w:tcPr>
            <w:tcW w:w="89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33"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39908</w:t>
            </w:r>
          </w:p>
        </w:tc>
        <w:tc>
          <w:tcPr>
            <w:tcW w:w="3660"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对民间非营利组织和群众性自治组织补贴</w:t>
            </w:r>
          </w:p>
        </w:tc>
        <w:tc>
          <w:tcPr>
            <w:tcW w:w="118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991" w:type="dxa"/>
            <w:tcBorders>
              <w:top w:val="nil"/>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30310</w:t>
            </w:r>
          </w:p>
        </w:tc>
        <w:tc>
          <w:tcPr>
            <w:tcW w:w="3363"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个人农业生产补贴</w:t>
            </w:r>
          </w:p>
        </w:tc>
        <w:tc>
          <w:tcPr>
            <w:tcW w:w="105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87"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30231</w:t>
            </w:r>
          </w:p>
        </w:tc>
        <w:tc>
          <w:tcPr>
            <w:tcW w:w="2038"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公务用车运行维护费</w:t>
            </w:r>
          </w:p>
        </w:tc>
        <w:tc>
          <w:tcPr>
            <w:tcW w:w="89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4.00</w:t>
            </w:r>
          </w:p>
        </w:tc>
        <w:tc>
          <w:tcPr>
            <w:tcW w:w="733"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39999</w:t>
            </w:r>
          </w:p>
        </w:tc>
        <w:tc>
          <w:tcPr>
            <w:tcW w:w="3660"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其他支出</w:t>
            </w:r>
          </w:p>
        </w:tc>
        <w:tc>
          <w:tcPr>
            <w:tcW w:w="118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991" w:type="dxa"/>
            <w:tcBorders>
              <w:top w:val="nil"/>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30399</w:t>
            </w:r>
          </w:p>
        </w:tc>
        <w:tc>
          <w:tcPr>
            <w:tcW w:w="3363"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其他对个人和家庭的补助支出</w:t>
            </w:r>
          </w:p>
        </w:tc>
        <w:tc>
          <w:tcPr>
            <w:tcW w:w="105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87"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30239</w:t>
            </w:r>
          </w:p>
        </w:tc>
        <w:tc>
          <w:tcPr>
            <w:tcW w:w="2038"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其他交通费用</w:t>
            </w:r>
          </w:p>
        </w:tc>
        <w:tc>
          <w:tcPr>
            <w:tcW w:w="89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7.31</w:t>
            </w:r>
          </w:p>
        </w:tc>
        <w:tc>
          <w:tcPr>
            <w:tcW w:w="733"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3660"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18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991" w:type="dxa"/>
            <w:tcBorders>
              <w:top w:val="nil"/>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3363"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05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87"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30240</w:t>
            </w:r>
          </w:p>
        </w:tc>
        <w:tc>
          <w:tcPr>
            <w:tcW w:w="2038"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税金及附加费用</w:t>
            </w:r>
          </w:p>
        </w:tc>
        <w:tc>
          <w:tcPr>
            <w:tcW w:w="89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33"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3660"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18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991" w:type="dxa"/>
            <w:tcBorders>
              <w:top w:val="nil"/>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3363"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05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87"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30299</w:t>
            </w:r>
          </w:p>
        </w:tc>
        <w:tc>
          <w:tcPr>
            <w:tcW w:w="2038"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其他商品和服务支出</w:t>
            </w:r>
          </w:p>
        </w:tc>
        <w:tc>
          <w:tcPr>
            <w:tcW w:w="89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w:t>
            </w:r>
          </w:p>
        </w:tc>
        <w:tc>
          <w:tcPr>
            <w:tcW w:w="733"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3660"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18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4354" w:type="dxa"/>
            <w:gridSpan w:val="2"/>
            <w:tcBorders>
              <w:top w:val="nil"/>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人员经费合计</w:t>
            </w:r>
          </w:p>
        </w:tc>
        <w:tc>
          <w:tcPr>
            <w:tcW w:w="105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229.70</w:t>
            </w:r>
          </w:p>
        </w:tc>
        <w:tc>
          <w:tcPr>
            <w:tcW w:w="8110" w:type="dxa"/>
            <w:gridSpan w:val="5"/>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公用经费合计</w:t>
            </w:r>
          </w:p>
        </w:tc>
        <w:tc>
          <w:tcPr>
            <w:tcW w:w="118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41.31</w:t>
            </w:r>
          </w:p>
        </w:tc>
      </w:tr>
      <w:tr>
        <w:tblPrEx>
          <w:tblCellMar>
            <w:top w:w="0" w:type="dxa"/>
            <w:left w:w="0" w:type="dxa"/>
            <w:bottom w:w="0" w:type="dxa"/>
            <w:right w:w="0" w:type="dxa"/>
          </w:tblCellMar>
        </w:tblPrEx>
        <w:trPr>
          <w:trHeight w:val="308" w:hRule="atLeast"/>
        </w:trPr>
        <w:tc>
          <w:tcPr>
            <w:tcW w:w="14698" w:type="dxa"/>
            <w:gridSpan w:val="9"/>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注：本表反映部门本年度一般公共预算财政拨款基本支出明细情况。本表金额转换为万元时，因四舍五入可能存在尾差。</w:t>
            </w:r>
          </w:p>
        </w:tc>
      </w:tr>
    </w:tbl>
    <w:p>
      <w:pPr>
        <w:spacing w:after="0"/>
        <w:jc w:val="both"/>
        <w:rPr>
          <w:sz w:val="20"/>
        </w:rPr>
      </w:pPr>
    </w:p>
    <w:p>
      <w:pPr>
        <w:spacing w:after="0"/>
        <w:jc w:val="both"/>
        <w:rPr>
          <w:sz w:val="20"/>
        </w:rPr>
      </w:pPr>
    </w:p>
    <w:p>
      <w:pPr>
        <w:spacing w:after="0"/>
        <w:jc w:val="both"/>
        <w:rPr>
          <w:sz w:val="20"/>
        </w:rPr>
      </w:pPr>
    </w:p>
    <w:p>
      <w:pPr>
        <w:spacing w:after="0"/>
        <w:jc w:val="both"/>
        <w:rPr>
          <w:sz w:val="20"/>
        </w:rPr>
      </w:pPr>
    </w:p>
    <w:p>
      <w:pPr>
        <w:spacing w:after="0"/>
        <w:jc w:val="both"/>
        <w:rPr>
          <w:sz w:val="20"/>
        </w:rPr>
      </w:pPr>
    </w:p>
    <w:p>
      <w:pPr>
        <w:spacing w:after="0"/>
        <w:jc w:val="both"/>
        <w:rPr>
          <w:sz w:val="20"/>
        </w:rPr>
      </w:pPr>
    </w:p>
    <w:p>
      <w:pPr>
        <w:spacing w:after="0"/>
        <w:jc w:val="both"/>
        <w:rPr>
          <w:sz w:val="20"/>
        </w:rPr>
      </w:pPr>
    </w:p>
    <w:p>
      <w:pPr>
        <w:spacing w:after="0"/>
        <w:jc w:val="both"/>
        <w:rPr>
          <w:sz w:val="20"/>
        </w:rPr>
      </w:pPr>
    </w:p>
    <w:p>
      <w:pPr>
        <w:spacing w:after="0"/>
        <w:jc w:val="both"/>
        <w:rPr>
          <w:sz w:val="20"/>
        </w:rPr>
      </w:pPr>
    </w:p>
    <w:p>
      <w:pPr>
        <w:spacing w:after="0"/>
        <w:jc w:val="both"/>
        <w:rPr>
          <w:sz w:val="20"/>
        </w:rPr>
      </w:pPr>
    </w:p>
    <w:p>
      <w:pPr>
        <w:spacing w:after="0"/>
        <w:jc w:val="both"/>
        <w:rPr>
          <w:sz w:val="20"/>
        </w:rPr>
      </w:pPr>
    </w:p>
    <w:p>
      <w:pPr>
        <w:spacing w:after="0"/>
        <w:jc w:val="both"/>
        <w:rPr>
          <w:sz w:val="20"/>
        </w:rPr>
      </w:pPr>
    </w:p>
    <w:p>
      <w:pPr>
        <w:spacing w:after="0"/>
        <w:jc w:val="both"/>
        <w:rPr>
          <w:sz w:val="20"/>
        </w:rPr>
      </w:pPr>
    </w:p>
    <w:p>
      <w:pPr>
        <w:spacing w:after="0"/>
        <w:jc w:val="both"/>
        <w:rPr>
          <w:sz w:val="20"/>
        </w:rPr>
      </w:pPr>
    </w:p>
    <w:p>
      <w:pPr>
        <w:spacing w:after="0"/>
        <w:jc w:val="both"/>
        <w:rPr>
          <w:sz w:val="20"/>
        </w:rPr>
      </w:pPr>
    </w:p>
    <w:p>
      <w:pPr>
        <w:spacing w:after="0"/>
        <w:jc w:val="both"/>
        <w:rPr>
          <w:sz w:val="20"/>
        </w:rPr>
      </w:pPr>
    </w:p>
    <w:p>
      <w:pPr>
        <w:spacing w:after="0"/>
        <w:jc w:val="both"/>
        <w:rPr>
          <w:sz w:val="20"/>
        </w:rPr>
      </w:pPr>
    </w:p>
    <w:p>
      <w:pPr>
        <w:spacing w:after="0"/>
        <w:jc w:val="both"/>
        <w:rPr>
          <w:sz w:val="20"/>
        </w:rPr>
      </w:pPr>
    </w:p>
    <w:p>
      <w:pPr>
        <w:spacing w:after="0"/>
        <w:jc w:val="both"/>
        <w:rPr>
          <w:sz w:val="20"/>
        </w:rPr>
      </w:pPr>
    </w:p>
    <w:p>
      <w:pPr>
        <w:spacing w:after="0"/>
        <w:jc w:val="both"/>
        <w:rPr>
          <w:sz w:val="20"/>
        </w:rPr>
      </w:pPr>
    </w:p>
    <w:p>
      <w:pPr>
        <w:spacing w:after="0"/>
        <w:jc w:val="both"/>
        <w:rPr>
          <w:sz w:val="20"/>
        </w:rPr>
      </w:pPr>
    </w:p>
    <w:p>
      <w:pPr>
        <w:spacing w:after="0"/>
        <w:jc w:val="both"/>
        <w:rPr>
          <w:sz w:val="20"/>
        </w:rPr>
      </w:pPr>
    </w:p>
    <w:p>
      <w:pPr>
        <w:spacing w:after="0"/>
        <w:jc w:val="both"/>
        <w:rPr>
          <w:sz w:val="20"/>
        </w:rPr>
      </w:pPr>
    </w:p>
    <w:p>
      <w:pPr>
        <w:spacing w:after="0"/>
        <w:jc w:val="both"/>
        <w:rPr>
          <w:sz w:val="20"/>
        </w:rPr>
      </w:pPr>
    </w:p>
    <w:p>
      <w:pPr>
        <w:spacing w:after="0"/>
        <w:jc w:val="both"/>
        <w:rPr>
          <w:sz w:val="20"/>
        </w:rPr>
      </w:pPr>
    </w:p>
    <w:p>
      <w:pPr>
        <w:spacing w:after="0"/>
        <w:jc w:val="both"/>
        <w:rPr>
          <w:sz w:val="20"/>
        </w:rPr>
      </w:pPr>
    </w:p>
    <w:p>
      <w:pPr>
        <w:spacing w:after="0"/>
        <w:jc w:val="both"/>
        <w:rPr>
          <w:sz w:val="20"/>
        </w:rPr>
      </w:pPr>
    </w:p>
    <w:p>
      <w:pPr>
        <w:spacing w:after="0"/>
        <w:jc w:val="both"/>
        <w:rPr>
          <w:sz w:val="20"/>
        </w:rPr>
      </w:pPr>
    </w:p>
    <w:p>
      <w:pPr>
        <w:spacing w:after="0"/>
        <w:jc w:val="both"/>
        <w:rPr>
          <w:sz w:val="20"/>
        </w:rPr>
      </w:pPr>
    </w:p>
    <w:p>
      <w:pPr>
        <w:spacing w:after="0"/>
        <w:jc w:val="both"/>
        <w:rPr>
          <w:sz w:val="20"/>
        </w:rPr>
      </w:pPr>
    </w:p>
    <w:p>
      <w:pPr>
        <w:spacing w:after="0"/>
        <w:jc w:val="both"/>
        <w:rPr>
          <w:sz w:val="20"/>
        </w:rPr>
      </w:pPr>
    </w:p>
    <w:p>
      <w:pPr>
        <w:spacing w:after="0"/>
        <w:jc w:val="both"/>
        <w:rPr>
          <w:sz w:val="20"/>
        </w:rPr>
      </w:pPr>
    </w:p>
    <w:p>
      <w:pPr>
        <w:spacing w:after="0"/>
        <w:jc w:val="both"/>
        <w:rPr>
          <w:sz w:val="20"/>
        </w:rPr>
      </w:pPr>
    </w:p>
    <w:tbl>
      <w:tblPr>
        <w:tblStyle w:val="6"/>
        <w:tblW w:w="14250" w:type="dxa"/>
        <w:tblInd w:w="0" w:type="dxa"/>
        <w:shd w:val="clear" w:color="auto" w:fill="auto"/>
        <w:tblLayout w:type="fixed"/>
        <w:tblCellMar>
          <w:top w:w="0" w:type="dxa"/>
          <w:left w:w="0" w:type="dxa"/>
          <w:bottom w:w="0" w:type="dxa"/>
          <w:right w:w="0" w:type="dxa"/>
        </w:tblCellMar>
      </w:tblPr>
      <w:tblGrid>
        <w:gridCol w:w="2830"/>
        <w:gridCol w:w="1119"/>
        <w:gridCol w:w="1016"/>
        <w:gridCol w:w="888"/>
        <w:gridCol w:w="1016"/>
        <w:gridCol w:w="893"/>
        <w:gridCol w:w="1016"/>
        <w:gridCol w:w="1119"/>
        <w:gridCol w:w="1016"/>
        <w:gridCol w:w="889"/>
        <w:gridCol w:w="1017"/>
        <w:gridCol w:w="1431"/>
      </w:tblGrid>
      <w:tr>
        <w:tblPrEx>
          <w:shd w:val="clear" w:color="auto" w:fill="auto"/>
          <w:tblCellMar>
            <w:top w:w="0" w:type="dxa"/>
            <w:left w:w="0" w:type="dxa"/>
            <w:bottom w:w="0" w:type="dxa"/>
            <w:right w:w="0" w:type="dxa"/>
          </w:tblCellMar>
        </w:tblPrEx>
        <w:trPr>
          <w:trHeight w:val="540" w:hRule="atLeast"/>
        </w:trPr>
        <w:tc>
          <w:tcPr>
            <w:tcW w:w="14250" w:type="dxa"/>
            <w:gridSpan w:val="12"/>
            <w:tcBorders>
              <w:top w:val="nil"/>
              <w:left w:val="nil"/>
              <w:bottom w:val="nil"/>
              <w:right w:val="nil"/>
            </w:tcBorders>
            <w:shd w:val="clear" w:color="auto" w:fill="FFFFFF"/>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44"/>
                <w:szCs w:val="44"/>
                <w:u w:val="none"/>
              </w:rPr>
            </w:pPr>
            <w:r>
              <w:rPr>
                <w:rFonts w:hint="eastAsia" w:ascii="宋体" w:hAnsi="宋体" w:eastAsia="宋体" w:cs="宋体"/>
                <w:i w:val="0"/>
                <w:color w:val="000000"/>
                <w:kern w:val="0"/>
                <w:sz w:val="44"/>
                <w:szCs w:val="44"/>
                <w:u w:val="none"/>
                <w:lang w:val="en-US" w:eastAsia="zh-CN" w:bidi="ar"/>
              </w:rPr>
              <w:t>一般公共预算财政拨款“三公”经费支出决算表</w:t>
            </w:r>
          </w:p>
        </w:tc>
      </w:tr>
      <w:tr>
        <w:tblPrEx>
          <w:tblCellMar>
            <w:top w:w="0" w:type="dxa"/>
            <w:left w:w="0" w:type="dxa"/>
            <w:bottom w:w="0" w:type="dxa"/>
            <w:right w:w="0" w:type="dxa"/>
          </w:tblCellMar>
        </w:tblPrEx>
        <w:trPr>
          <w:trHeight w:val="255" w:hRule="atLeast"/>
        </w:trPr>
        <w:tc>
          <w:tcPr>
            <w:tcW w:w="14250" w:type="dxa"/>
            <w:gridSpan w:val="12"/>
            <w:tcBorders>
              <w:top w:val="nil"/>
              <w:left w:val="nil"/>
              <w:bottom w:val="nil"/>
              <w:right w:val="nil"/>
            </w:tcBorders>
            <w:shd w:val="clear" w:color="auto" w:fill="FFFFFF"/>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公开07表</w:t>
            </w:r>
          </w:p>
        </w:tc>
      </w:tr>
      <w:tr>
        <w:tblPrEx>
          <w:tblCellMar>
            <w:top w:w="0" w:type="dxa"/>
            <w:left w:w="0" w:type="dxa"/>
            <w:bottom w:w="0" w:type="dxa"/>
            <w:right w:w="0" w:type="dxa"/>
          </w:tblCellMar>
        </w:tblPrEx>
        <w:trPr>
          <w:trHeight w:val="255" w:hRule="atLeast"/>
        </w:trPr>
        <w:tc>
          <w:tcPr>
            <w:tcW w:w="2830" w:type="dxa"/>
            <w:tcBorders>
              <w:top w:val="nil"/>
              <w:left w:val="nil"/>
              <w:bottom w:val="nil"/>
              <w:right w:val="nil"/>
            </w:tcBorders>
            <w:shd w:val="clear" w:color="auto" w:fill="FFFFFF"/>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部门：中共濮阳县委政法委员会</w:t>
            </w:r>
          </w:p>
        </w:tc>
        <w:tc>
          <w:tcPr>
            <w:tcW w:w="1119" w:type="dxa"/>
            <w:tcBorders>
              <w:top w:val="nil"/>
              <w:left w:val="nil"/>
              <w:bottom w:val="nil"/>
              <w:right w:val="nil"/>
            </w:tcBorders>
            <w:shd w:val="clear" w:color="auto" w:fill="FFFFFF"/>
            <w:tcMar>
              <w:top w:w="15" w:type="dxa"/>
              <w:left w:w="15" w:type="dxa"/>
              <w:right w:w="15" w:type="dxa"/>
            </w:tcMar>
            <w:vAlign w:val="bottom"/>
          </w:tcPr>
          <w:p>
            <w:pPr>
              <w:rPr>
                <w:rFonts w:hint="eastAsia" w:ascii="Arial" w:hAnsi="Arial" w:cs="Arial"/>
                <w:i w:val="0"/>
                <w:color w:val="000000"/>
                <w:sz w:val="20"/>
                <w:szCs w:val="20"/>
                <w:u w:val="none"/>
              </w:rPr>
            </w:pPr>
          </w:p>
        </w:tc>
        <w:tc>
          <w:tcPr>
            <w:tcW w:w="1016" w:type="dxa"/>
            <w:tcBorders>
              <w:top w:val="nil"/>
              <w:left w:val="nil"/>
              <w:bottom w:val="nil"/>
              <w:right w:val="nil"/>
            </w:tcBorders>
            <w:shd w:val="clear" w:color="auto" w:fill="FFFFFF"/>
            <w:tcMar>
              <w:top w:w="15" w:type="dxa"/>
              <w:left w:w="15" w:type="dxa"/>
              <w:right w:w="15" w:type="dxa"/>
            </w:tcMar>
            <w:vAlign w:val="bottom"/>
          </w:tcPr>
          <w:p>
            <w:pPr>
              <w:rPr>
                <w:rFonts w:hint="default" w:ascii="Arial" w:hAnsi="Arial" w:cs="Arial"/>
                <w:i w:val="0"/>
                <w:color w:val="000000"/>
                <w:sz w:val="20"/>
                <w:szCs w:val="20"/>
                <w:u w:val="none"/>
              </w:rPr>
            </w:pPr>
          </w:p>
        </w:tc>
        <w:tc>
          <w:tcPr>
            <w:tcW w:w="888" w:type="dxa"/>
            <w:tcBorders>
              <w:top w:val="nil"/>
              <w:left w:val="nil"/>
              <w:bottom w:val="nil"/>
              <w:right w:val="nil"/>
            </w:tcBorders>
            <w:shd w:val="clear" w:color="auto" w:fill="FFFFFF"/>
            <w:tcMar>
              <w:top w:w="15" w:type="dxa"/>
              <w:left w:w="15" w:type="dxa"/>
              <w:right w:w="15" w:type="dxa"/>
            </w:tcMar>
            <w:vAlign w:val="bottom"/>
          </w:tcPr>
          <w:p>
            <w:pPr>
              <w:rPr>
                <w:rFonts w:hint="default" w:ascii="Arial" w:hAnsi="Arial" w:cs="Arial"/>
                <w:i w:val="0"/>
                <w:color w:val="000000"/>
                <w:sz w:val="20"/>
                <w:szCs w:val="20"/>
                <w:u w:val="none"/>
              </w:rPr>
            </w:pPr>
          </w:p>
        </w:tc>
        <w:tc>
          <w:tcPr>
            <w:tcW w:w="1016" w:type="dxa"/>
            <w:tcBorders>
              <w:top w:val="nil"/>
              <w:left w:val="nil"/>
              <w:bottom w:val="nil"/>
              <w:right w:val="nil"/>
            </w:tcBorders>
            <w:shd w:val="clear" w:color="auto" w:fill="FFFFFF"/>
            <w:tcMar>
              <w:top w:w="15" w:type="dxa"/>
              <w:left w:w="15" w:type="dxa"/>
              <w:right w:w="15" w:type="dxa"/>
            </w:tcMar>
            <w:vAlign w:val="bottom"/>
          </w:tcPr>
          <w:p>
            <w:pPr>
              <w:rPr>
                <w:rFonts w:hint="default" w:ascii="Arial" w:hAnsi="Arial" w:cs="Arial"/>
                <w:i w:val="0"/>
                <w:color w:val="000000"/>
                <w:sz w:val="20"/>
                <w:szCs w:val="20"/>
                <w:u w:val="none"/>
              </w:rPr>
            </w:pPr>
          </w:p>
        </w:tc>
        <w:tc>
          <w:tcPr>
            <w:tcW w:w="893" w:type="dxa"/>
            <w:tcBorders>
              <w:top w:val="nil"/>
              <w:left w:val="nil"/>
              <w:bottom w:val="nil"/>
              <w:right w:val="nil"/>
            </w:tcBorders>
            <w:shd w:val="clear" w:color="auto" w:fill="FFFFFF"/>
            <w:tcMar>
              <w:top w:w="15" w:type="dxa"/>
              <w:left w:w="15" w:type="dxa"/>
              <w:right w:w="15" w:type="dxa"/>
            </w:tcMar>
            <w:vAlign w:val="bottom"/>
          </w:tcPr>
          <w:p>
            <w:pPr>
              <w:rPr>
                <w:rFonts w:hint="default" w:ascii="Arial" w:hAnsi="Arial" w:cs="Arial"/>
                <w:i w:val="0"/>
                <w:color w:val="000000"/>
                <w:sz w:val="20"/>
                <w:szCs w:val="20"/>
                <w:u w:val="none"/>
              </w:rPr>
            </w:pPr>
          </w:p>
        </w:tc>
        <w:tc>
          <w:tcPr>
            <w:tcW w:w="1016" w:type="dxa"/>
            <w:tcBorders>
              <w:top w:val="nil"/>
              <w:left w:val="nil"/>
              <w:bottom w:val="nil"/>
              <w:right w:val="nil"/>
            </w:tcBorders>
            <w:shd w:val="clear" w:color="auto" w:fill="FFFFFF"/>
            <w:tcMar>
              <w:top w:w="15" w:type="dxa"/>
              <w:left w:w="15" w:type="dxa"/>
              <w:right w:w="15" w:type="dxa"/>
            </w:tcMar>
            <w:vAlign w:val="bottom"/>
          </w:tcPr>
          <w:p>
            <w:pPr>
              <w:rPr>
                <w:rFonts w:hint="default" w:ascii="Arial" w:hAnsi="Arial" w:cs="Arial"/>
                <w:i w:val="0"/>
                <w:color w:val="000000"/>
                <w:sz w:val="20"/>
                <w:szCs w:val="20"/>
                <w:u w:val="none"/>
              </w:rPr>
            </w:pPr>
          </w:p>
        </w:tc>
        <w:tc>
          <w:tcPr>
            <w:tcW w:w="1119" w:type="dxa"/>
            <w:tcBorders>
              <w:top w:val="nil"/>
              <w:left w:val="nil"/>
              <w:bottom w:val="nil"/>
              <w:right w:val="nil"/>
            </w:tcBorders>
            <w:shd w:val="clear" w:color="auto" w:fill="FFFFFF"/>
            <w:tcMar>
              <w:top w:w="15" w:type="dxa"/>
              <w:left w:w="15" w:type="dxa"/>
              <w:right w:w="15" w:type="dxa"/>
            </w:tcMar>
            <w:vAlign w:val="bottom"/>
          </w:tcPr>
          <w:p>
            <w:pPr>
              <w:rPr>
                <w:rFonts w:hint="default" w:ascii="Arial" w:hAnsi="Arial" w:cs="Arial"/>
                <w:i w:val="0"/>
                <w:color w:val="000000"/>
                <w:sz w:val="20"/>
                <w:szCs w:val="20"/>
                <w:u w:val="none"/>
              </w:rPr>
            </w:pPr>
          </w:p>
        </w:tc>
        <w:tc>
          <w:tcPr>
            <w:tcW w:w="1016" w:type="dxa"/>
            <w:tcBorders>
              <w:top w:val="nil"/>
              <w:left w:val="nil"/>
              <w:bottom w:val="nil"/>
              <w:right w:val="nil"/>
            </w:tcBorders>
            <w:shd w:val="clear" w:color="auto" w:fill="FFFFFF"/>
            <w:tcMar>
              <w:top w:w="15" w:type="dxa"/>
              <w:left w:w="15" w:type="dxa"/>
              <w:right w:w="15" w:type="dxa"/>
            </w:tcMar>
            <w:vAlign w:val="bottom"/>
          </w:tcPr>
          <w:p>
            <w:pPr>
              <w:rPr>
                <w:rFonts w:hint="default" w:ascii="Arial" w:hAnsi="Arial" w:cs="Arial"/>
                <w:i w:val="0"/>
                <w:color w:val="000000"/>
                <w:sz w:val="20"/>
                <w:szCs w:val="20"/>
                <w:u w:val="none"/>
              </w:rPr>
            </w:pPr>
          </w:p>
        </w:tc>
        <w:tc>
          <w:tcPr>
            <w:tcW w:w="889" w:type="dxa"/>
            <w:tcBorders>
              <w:top w:val="nil"/>
              <w:left w:val="nil"/>
              <w:bottom w:val="nil"/>
              <w:right w:val="nil"/>
            </w:tcBorders>
            <w:shd w:val="clear" w:color="auto" w:fill="FFFFFF"/>
            <w:tcMar>
              <w:top w:w="15" w:type="dxa"/>
              <w:left w:w="15" w:type="dxa"/>
              <w:right w:w="15" w:type="dxa"/>
            </w:tcMar>
            <w:vAlign w:val="bottom"/>
          </w:tcPr>
          <w:p>
            <w:pPr>
              <w:rPr>
                <w:rFonts w:hint="default" w:ascii="Arial" w:hAnsi="Arial" w:cs="Arial"/>
                <w:i w:val="0"/>
                <w:color w:val="000000"/>
                <w:sz w:val="20"/>
                <w:szCs w:val="20"/>
                <w:u w:val="none"/>
              </w:rPr>
            </w:pPr>
          </w:p>
        </w:tc>
        <w:tc>
          <w:tcPr>
            <w:tcW w:w="1017" w:type="dxa"/>
            <w:tcBorders>
              <w:top w:val="nil"/>
              <w:left w:val="nil"/>
              <w:bottom w:val="nil"/>
              <w:right w:val="nil"/>
            </w:tcBorders>
            <w:shd w:val="clear" w:color="auto" w:fill="FFFFFF"/>
            <w:tcMar>
              <w:top w:w="15" w:type="dxa"/>
              <w:left w:w="15" w:type="dxa"/>
              <w:right w:w="15" w:type="dxa"/>
            </w:tcMar>
            <w:vAlign w:val="bottom"/>
          </w:tcPr>
          <w:p>
            <w:pPr>
              <w:rPr>
                <w:rFonts w:hint="default" w:ascii="Arial" w:hAnsi="Arial" w:cs="Arial"/>
                <w:i w:val="0"/>
                <w:color w:val="000000"/>
                <w:sz w:val="20"/>
                <w:szCs w:val="20"/>
                <w:u w:val="none"/>
              </w:rPr>
            </w:pPr>
          </w:p>
        </w:tc>
        <w:tc>
          <w:tcPr>
            <w:tcW w:w="1431" w:type="dxa"/>
            <w:tcBorders>
              <w:top w:val="nil"/>
              <w:left w:val="nil"/>
              <w:bottom w:val="nil"/>
              <w:right w:val="nil"/>
            </w:tcBorders>
            <w:shd w:val="clear" w:color="auto" w:fill="FFFFFF"/>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trHeight w:val="308" w:hRule="atLeast"/>
        </w:trPr>
        <w:tc>
          <w:tcPr>
            <w:tcW w:w="7762" w:type="dxa"/>
            <w:gridSpan w:val="6"/>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预算数</w:t>
            </w:r>
          </w:p>
        </w:tc>
        <w:tc>
          <w:tcPr>
            <w:tcW w:w="6488" w:type="dxa"/>
            <w:gridSpan w:val="6"/>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决算数</w:t>
            </w:r>
          </w:p>
        </w:tc>
      </w:tr>
      <w:tr>
        <w:tblPrEx>
          <w:tblCellMar>
            <w:top w:w="0" w:type="dxa"/>
            <w:left w:w="0" w:type="dxa"/>
            <w:bottom w:w="0" w:type="dxa"/>
            <w:right w:w="0" w:type="dxa"/>
          </w:tblCellMar>
        </w:tblPrEx>
        <w:trPr>
          <w:trHeight w:val="308" w:hRule="atLeast"/>
        </w:trPr>
        <w:tc>
          <w:tcPr>
            <w:tcW w:w="2830" w:type="dxa"/>
            <w:vMerge w:val="restart"/>
            <w:tcBorders>
              <w:top w:val="nil"/>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119" w:type="dxa"/>
            <w:vMerge w:val="restart"/>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因公出国（境）费</w:t>
            </w:r>
          </w:p>
        </w:tc>
        <w:tc>
          <w:tcPr>
            <w:tcW w:w="2920" w:type="dxa"/>
            <w:gridSpan w:val="3"/>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公务用车购置及运行费</w:t>
            </w:r>
          </w:p>
        </w:tc>
        <w:tc>
          <w:tcPr>
            <w:tcW w:w="893" w:type="dxa"/>
            <w:vMerge w:val="restart"/>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公务接待费</w:t>
            </w:r>
          </w:p>
        </w:tc>
        <w:tc>
          <w:tcPr>
            <w:tcW w:w="1016" w:type="dxa"/>
            <w:vMerge w:val="restart"/>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119" w:type="dxa"/>
            <w:vMerge w:val="restart"/>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因公出国（境）费</w:t>
            </w:r>
          </w:p>
        </w:tc>
        <w:tc>
          <w:tcPr>
            <w:tcW w:w="2922" w:type="dxa"/>
            <w:gridSpan w:val="3"/>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公务用车购置及运行费</w:t>
            </w:r>
          </w:p>
        </w:tc>
        <w:tc>
          <w:tcPr>
            <w:tcW w:w="1431" w:type="dxa"/>
            <w:vMerge w:val="restart"/>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公务接待费</w:t>
            </w:r>
          </w:p>
        </w:tc>
      </w:tr>
      <w:tr>
        <w:tblPrEx>
          <w:tblCellMar>
            <w:top w:w="0" w:type="dxa"/>
            <w:left w:w="0" w:type="dxa"/>
            <w:bottom w:w="0" w:type="dxa"/>
            <w:right w:w="0" w:type="dxa"/>
          </w:tblCellMar>
        </w:tblPrEx>
        <w:trPr>
          <w:trHeight w:val="615" w:hRule="atLeast"/>
        </w:trPr>
        <w:tc>
          <w:tcPr>
            <w:tcW w:w="2830" w:type="dxa"/>
            <w:vMerge w:val="continue"/>
            <w:tcBorders>
              <w:top w:val="nil"/>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19" w:type="dxa"/>
            <w:vMerge w:val="continue"/>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16"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888"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公务用车购置费</w:t>
            </w:r>
          </w:p>
        </w:tc>
        <w:tc>
          <w:tcPr>
            <w:tcW w:w="1016"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公务用车运行费</w:t>
            </w:r>
          </w:p>
        </w:tc>
        <w:tc>
          <w:tcPr>
            <w:tcW w:w="893" w:type="dxa"/>
            <w:vMerge w:val="continue"/>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16" w:type="dxa"/>
            <w:vMerge w:val="continue"/>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19" w:type="dxa"/>
            <w:vMerge w:val="continue"/>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16"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889"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公务用车购置费</w:t>
            </w:r>
          </w:p>
        </w:tc>
        <w:tc>
          <w:tcPr>
            <w:tcW w:w="1017"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公务用车运行费</w:t>
            </w:r>
          </w:p>
        </w:tc>
        <w:tc>
          <w:tcPr>
            <w:tcW w:w="1431" w:type="dxa"/>
            <w:vMerge w:val="continue"/>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2830" w:type="dxa"/>
            <w:tcBorders>
              <w:top w:val="nil"/>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119"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016"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888"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016"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893"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016"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1119"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1016"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889"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1017"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1431"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r>
      <w:tr>
        <w:tblPrEx>
          <w:tblCellMar>
            <w:top w:w="0" w:type="dxa"/>
            <w:left w:w="0" w:type="dxa"/>
            <w:bottom w:w="0" w:type="dxa"/>
            <w:right w:w="0" w:type="dxa"/>
          </w:tblCellMar>
        </w:tblPrEx>
        <w:trPr>
          <w:trHeight w:val="308" w:hRule="atLeast"/>
        </w:trPr>
        <w:tc>
          <w:tcPr>
            <w:tcW w:w="2830"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14.50</w:t>
            </w:r>
          </w:p>
        </w:tc>
        <w:tc>
          <w:tcPr>
            <w:tcW w:w="1119"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16"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14.00</w:t>
            </w:r>
          </w:p>
        </w:tc>
        <w:tc>
          <w:tcPr>
            <w:tcW w:w="888"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16"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14.00</w:t>
            </w:r>
          </w:p>
        </w:tc>
        <w:tc>
          <w:tcPr>
            <w:tcW w:w="89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0.50</w:t>
            </w:r>
          </w:p>
        </w:tc>
        <w:tc>
          <w:tcPr>
            <w:tcW w:w="1016"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14.50</w:t>
            </w:r>
          </w:p>
        </w:tc>
        <w:tc>
          <w:tcPr>
            <w:tcW w:w="1119"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16"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14.00</w:t>
            </w:r>
          </w:p>
        </w:tc>
        <w:tc>
          <w:tcPr>
            <w:tcW w:w="889"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17"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14.00</w:t>
            </w:r>
          </w:p>
        </w:tc>
        <w:tc>
          <w:tcPr>
            <w:tcW w:w="143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0.50</w:t>
            </w:r>
          </w:p>
        </w:tc>
      </w:tr>
      <w:tr>
        <w:tblPrEx>
          <w:tblCellMar>
            <w:top w:w="0" w:type="dxa"/>
            <w:left w:w="0" w:type="dxa"/>
            <w:bottom w:w="0" w:type="dxa"/>
            <w:right w:w="0" w:type="dxa"/>
          </w:tblCellMar>
        </w:tblPrEx>
        <w:trPr>
          <w:trHeight w:val="615" w:hRule="atLeast"/>
        </w:trPr>
        <w:tc>
          <w:tcPr>
            <w:tcW w:w="14250" w:type="dxa"/>
            <w:gridSpan w:val="12"/>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三公”经费支出预决算情况。其中：预算数为“三公”经费年初预算数，决算数是包括当年一般公共预算财政拨款和以前年度结转资金安排的实际支出。本表金额转换为万元时，因四舍五入可能存在尾差。</w:t>
            </w:r>
          </w:p>
        </w:tc>
      </w:tr>
    </w:tbl>
    <w:p>
      <w:pPr>
        <w:spacing w:after="0"/>
        <w:jc w:val="both"/>
        <w:rPr>
          <w:sz w:val="20"/>
        </w:rPr>
      </w:pPr>
    </w:p>
    <w:p>
      <w:pPr>
        <w:spacing w:after="0"/>
        <w:jc w:val="both"/>
        <w:rPr>
          <w:sz w:val="20"/>
        </w:rPr>
      </w:pPr>
    </w:p>
    <w:p>
      <w:pPr>
        <w:spacing w:after="0"/>
        <w:jc w:val="both"/>
        <w:rPr>
          <w:sz w:val="20"/>
        </w:rPr>
      </w:pPr>
    </w:p>
    <w:p>
      <w:pPr>
        <w:spacing w:after="0"/>
        <w:jc w:val="both"/>
        <w:rPr>
          <w:sz w:val="20"/>
        </w:rPr>
      </w:pPr>
    </w:p>
    <w:p>
      <w:pPr>
        <w:spacing w:after="0"/>
        <w:jc w:val="both"/>
        <w:rPr>
          <w:sz w:val="20"/>
        </w:rPr>
      </w:pPr>
    </w:p>
    <w:p>
      <w:pPr>
        <w:spacing w:after="0"/>
        <w:jc w:val="both"/>
        <w:rPr>
          <w:sz w:val="20"/>
        </w:rPr>
      </w:pPr>
    </w:p>
    <w:p>
      <w:pPr>
        <w:spacing w:after="0"/>
        <w:jc w:val="both"/>
        <w:rPr>
          <w:sz w:val="20"/>
        </w:rPr>
      </w:pPr>
    </w:p>
    <w:p>
      <w:pPr>
        <w:spacing w:after="0"/>
        <w:jc w:val="both"/>
        <w:rPr>
          <w:sz w:val="20"/>
        </w:rPr>
      </w:pPr>
    </w:p>
    <w:p>
      <w:pPr>
        <w:spacing w:after="0"/>
        <w:jc w:val="both"/>
        <w:rPr>
          <w:sz w:val="20"/>
        </w:rPr>
      </w:pPr>
    </w:p>
    <w:p>
      <w:pPr>
        <w:spacing w:after="0"/>
        <w:jc w:val="both"/>
        <w:rPr>
          <w:sz w:val="20"/>
        </w:rPr>
      </w:pPr>
    </w:p>
    <w:p>
      <w:pPr>
        <w:spacing w:after="0"/>
        <w:jc w:val="both"/>
        <w:rPr>
          <w:sz w:val="20"/>
        </w:rPr>
      </w:pPr>
    </w:p>
    <w:p>
      <w:pPr>
        <w:spacing w:after="0"/>
        <w:jc w:val="both"/>
        <w:rPr>
          <w:sz w:val="20"/>
        </w:rPr>
      </w:pPr>
    </w:p>
    <w:p>
      <w:pPr>
        <w:spacing w:after="0"/>
        <w:jc w:val="both"/>
        <w:rPr>
          <w:sz w:val="20"/>
        </w:rPr>
      </w:pPr>
    </w:p>
    <w:p>
      <w:pPr>
        <w:spacing w:after="0"/>
        <w:jc w:val="both"/>
        <w:rPr>
          <w:sz w:val="20"/>
        </w:rPr>
      </w:pPr>
    </w:p>
    <w:p>
      <w:pPr>
        <w:spacing w:after="0"/>
        <w:jc w:val="both"/>
        <w:rPr>
          <w:sz w:val="20"/>
        </w:rPr>
      </w:pPr>
    </w:p>
    <w:p>
      <w:pPr>
        <w:spacing w:after="0"/>
        <w:jc w:val="both"/>
        <w:rPr>
          <w:sz w:val="20"/>
        </w:rPr>
      </w:pPr>
    </w:p>
    <w:p>
      <w:pPr>
        <w:spacing w:after="0"/>
        <w:jc w:val="both"/>
        <w:rPr>
          <w:sz w:val="20"/>
        </w:rPr>
      </w:pPr>
    </w:p>
    <w:p>
      <w:pPr>
        <w:spacing w:after="0"/>
        <w:jc w:val="both"/>
        <w:rPr>
          <w:sz w:val="20"/>
        </w:rPr>
      </w:pPr>
    </w:p>
    <w:p>
      <w:pPr>
        <w:spacing w:after="0"/>
        <w:jc w:val="both"/>
        <w:rPr>
          <w:sz w:val="20"/>
        </w:rPr>
      </w:pPr>
    </w:p>
    <w:p>
      <w:pPr>
        <w:spacing w:after="0"/>
        <w:jc w:val="both"/>
        <w:rPr>
          <w:sz w:val="20"/>
        </w:rPr>
      </w:pPr>
    </w:p>
    <w:p>
      <w:pPr>
        <w:spacing w:after="0"/>
        <w:jc w:val="both"/>
        <w:rPr>
          <w:sz w:val="20"/>
        </w:rPr>
      </w:pPr>
    </w:p>
    <w:p>
      <w:pPr>
        <w:spacing w:after="0"/>
        <w:jc w:val="both"/>
        <w:rPr>
          <w:sz w:val="20"/>
        </w:rPr>
      </w:pPr>
    </w:p>
    <w:p>
      <w:pPr>
        <w:spacing w:after="0"/>
        <w:jc w:val="both"/>
        <w:rPr>
          <w:sz w:val="20"/>
        </w:rPr>
      </w:pPr>
    </w:p>
    <w:p>
      <w:pPr>
        <w:spacing w:after="0"/>
        <w:jc w:val="both"/>
        <w:rPr>
          <w:sz w:val="20"/>
        </w:rPr>
      </w:pPr>
    </w:p>
    <w:p>
      <w:pPr>
        <w:spacing w:after="0"/>
        <w:jc w:val="both"/>
        <w:rPr>
          <w:sz w:val="20"/>
        </w:rPr>
      </w:pPr>
    </w:p>
    <w:tbl>
      <w:tblPr>
        <w:tblStyle w:val="6"/>
        <w:tblW w:w="14250" w:type="dxa"/>
        <w:tblInd w:w="0" w:type="dxa"/>
        <w:shd w:val="clear" w:color="auto" w:fill="auto"/>
        <w:tblLayout w:type="fixed"/>
        <w:tblCellMar>
          <w:top w:w="0" w:type="dxa"/>
          <w:left w:w="0" w:type="dxa"/>
          <w:bottom w:w="0" w:type="dxa"/>
          <w:right w:w="0" w:type="dxa"/>
        </w:tblCellMar>
      </w:tblPr>
      <w:tblGrid>
        <w:gridCol w:w="3929"/>
        <w:gridCol w:w="88"/>
        <w:gridCol w:w="91"/>
        <w:gridCol w:w="1265"/>
        <w:gridCol w:w="1340"/>
        <w:gridCol w:w="1340"/>
        <w:gridCol w:w="1340"/>
        <w:gridCol w:w="1340"/>
        <w:gridCol w:w="1345"/>
        <w:gridCol w:w="2172"/>
      </w:tblGrid>
      <w:tr>
        <w:tblPrEx>
          <w:shd w:val="clear" w:color="auto" w:fill="auto"/>
          <w:tblCellMar>
            <w:top w:w="0" w:type="dxa"/>
            <w:left w:w="0" w:type="dxa"/>
            <w:bottom w:w="0" w:type="dxa"/>
            <w:right w:w="0" w:type="dxa"/>
          </w:tblCellMar>
        </w:tblPrEx>
        <w:trPr>
          <w:trHeight w:val="390" w:hRule="atLeast"/>
        </w:trPr>
        <w:tc>
          <w:tcPr>
            <w:tcW w:w="14250" w:type="dxa"/>
            <w:gridSpan w:val="10"/>
            <w:tcBorders>
              <w:top w:val="nil"/>
              <w:left w:val="nil"/>
              <w:bottom w:val="nil"/>
              <w:right w:val="nil"/>
            </w:tcBorders>
            <w:shd w:val="clear" w:color="auto" w:fill="FFFFFF"/>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政府性基金预算财政拨款收入支出决算表</w:t>
            </w:r>
          </w:p>
        </w:tc>
      </w:tr>
      <w:tr>
        <w:tblPrEx>
          <w:tblCellMar>
            <w:top w:w="0" w:type="dxa"/>
            <w:left w:w="0" w:type="dxa"/>
            <w:bottom w:w="0" w:type="dxa"/>
            <w:right w:w="0" w:type="dxa"/>
          </w:tblCellMar>
        </w:tblPrEx>
        <w:trPr>
          <w:trHeight w:val="255" w:hRule="atLeast"/>
        </w:trPr>
        <w:tc>
          <w:tcPr>
            <w:tcW w:w="14250" w:type="dxa"/>
            <w:gridSpan w:val="10"/>
            <w:tcBorders>
              <w:top w:val="nil"/>
              <w:left w:val="nil"/>
              <w:bottom w:val="nil"/>
              <w:right w:val="nil"/>
            </w:tcBorders>
            <w:shd w:val="clear" w:color="auto" w:fill="FFFFFF"/>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公开08表</w:t>
            </w:r>
          </w:p>
        </w:tc>
      </w:tr>
      <w:tr>
        <w:tblPrEx>
          <w:tblCellMar>
            <w:top w:w="0" w:type="dxa"/>
            <w:left w:w="0" w:type="dxa"/>
            <w:bottom w:w="0" w:type="dxa"/>
            <w:right w:w="0" w:type="dxa"/>
          </w:tblCellMar>
        </w:tblPrEx>
        <w:trPr>
          <w:trHeight w:val="255" w:hRule="atLeast"/>
        </w:trPr>
        <w:tc>
          <w:tcPr>
            <w:tcW w:w="3929" w:type="dxa"/>
            <w:tcBorders>
              <w:top w:val="nil"/>
              <w:left w:val="nil"/>
              <w:bottom w:val="nil"/>
              <w:right w:val="nil"/>
            </w:tcBorders>
            <w:shd w:val="clear" w:color="auto" w:fill="FFFFFF"/>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部门：中共濮阳县委政法委员会</w:t>
            </w:r>
          </w:p>
        </w:tc>
        <w:tc>
          <w:tcPr>
            <w:tcW w:w="88" w:type="dxa"/>
            <w:tcBorders>
              <w:top w:val="nil"/>
              <w:left w:val="nil"/>
              <w:bottom w:val="nil"/>
              <w:right w:val="nil"/>
            </w:tcBorders>
            <w:shd w:val="clear" w:color="auto" w:fill="FFFFFF"/>
            <w:tcMar>
              <w:top w:w="15" w:type="dxa"/>
              <w:left w:w="15" w:type="dxa"/>
              <w:right w:w="15" w:type="dxa"/>
            </w:tcMar>
            <w:vAlign w:val="bottom"/>
          </w:tcPr>
          <w:p>
            <w:pPr>
              <w:rPr>
                <w:rFonts w:hint="eastAsia" w:ascii="Arial" w:hAnsi="Arial" w:cs="Arial"/>
                <w:i w:val="0"/>
                <w:color w:val="000000"/>
                <w:sz w:val="20"/>
                <w:szCs w:val="20"/>
                <w:u w:val="none"/>
              </w:rPr>
            </w:pPr>
          </w:p>
        </w:tc>
        <w:tc>
          <w:tcPr>
            <w:tcW w:w="91" w:type="dxa"/>
            <w:tcBorders>
              <w:top w:val="nil"/>
              <w:left w:val="nil"/>
              <w:bottom w:val="nil"/>
              <w:right w:val="nil"/>
            </w:tcBorders>
            <w:shd w:val="clear" w:color="auto" w:fill="FFFFFF"/>
            <w:tcMar>
              <w:top w:w="15" w:type="dxa"/>
              <w:left w:w="15" w:type="dxa"/>
              <w:right w:w="15" w:type="dxa"/>
            </w:tcMar>
            <w:vAlign w:val="bottom"/>
          </w:tcPr>
          <w:p>
            <w:pPr>
              <w:rPr>
                <w:rFonts w:hint="default" w:ascii="Arial" w:hAnsi="Arial" w:cs="Arial"/>
                <w:i w:val="0"/>
                <w:color w:val="000000"/>
                <w:sz w:val="20"/>
                <w:szCs w:val="20"/>
                <w:u w:val="none"/>
              </w:rPr>
            </w:pPr>
          </w:p>
        </w:tc>
        <w:tc>
          <w:tcPr>
            <w:tcW w:w="1265" w:type="dxa"/>
            <w:tcBorders>
              <w:top w:val="nil"/>
              <w:left w:val="nil"/>
              <w:bottom w:val="nil"/>
              <w:right w:val="nil"/>
            </w:tcBorders>
            <w:shd w:val="clear" w:color="auto" w:fill="FFFFFF"/>
            <w:tcMar>
              <w:top w:w="15" w:type="dxa"/>
              <w:left w:w="15" w:type="dxa"/>
              <w:right w:w="15" w:type="dxa"/>
            </w:tcMar>
            <w:vAlign w:val="bottom"/>
          </w:tcPr>
          <w:p>
            <w:pPr>
              <w:rPr>
                <w:rFonts w:hint="default" w:ascii="Arial" w:hAnsi="Arial" w:cs="Arial"/>
                <w:i w:val="0"/>
                <w:color w:val="000000"/>
                <w:sz w:val="20"/>
                <w:szCs w:val="20"/>
                <w:u w:val="none"/>
              </w:rPr>
            </w:pPr>
          </w:p>
        </w:tc>
        <w:tc>
          <w:tcPr>
            <w:tcW w:w="1340" w:type="dxa"/>
            <w:tcBorders>
              <w:top w:val="nil"/>
              <w:left w:val="nil"/>
              <w:bottom w:val="nil"/>
              <w:right w:val="nil"/>
            </w:tcBorders>
            <w:shd w:val="clear" w:color="auto" w:fill="FFFFFF"/>
            <w:tcMar>
              <w:top w:w="15" w:type="dxa"/>
              <w:left w:w="15" w:type="dxa"/>
              <w:right w:w="15" w:type="dxa"/>
            </w:tcMar>
            <w:vAlign w:val="bottom"/>
          </w:tcPr>
          <w:p>
            <w:pPr>
              <w:rPr>
                <w:rFonts w:hint="default" w:ascii="Arial" w:hAnsi="Arial" w:cs="Arial"/>
                <w:i w:val="0"/>
                <w:color w:val="000000"/>
                <w:sz w:val="20"/>
                <w:szCs w:val="20"/>
                <w:u w:val="none"/>
              </w:rPr>
            </w:pPr>
          </w:p>
        </w:tc>
        <w:tc>
          <w:tcPr>
            <w:tcW w:w="1340" w:type="dxa"/>
            <w:tcBorders>
              <w:top w:val="nil"/>
              <w:left w:val="nil"/>
              <w:bottom w:val="nil"/>
              <w:right w:val="nil"/>
            </w:tcBorders>
            <w:shd w:val="clear" w:color="auto" w:fill="FFFFFF"/>
            <w:tcMar>
              <w:top w:w="15" w:type="dxa"/>
              <w:left w:w="15" w:type="dxa"/>
              <w:right w:w="15" w:type="dxa"/>
            </w:tcMar>
            <w:vAlign w:val="bottom"/>
          </w:tcPr>
          <w:p>
            <w:pPr>
              <w:rPr>
                <w:rFonts w:hint="default" w:ascii="Arial" w:hAnsi="Arial" w:cs="Arial"/>
                <w:i w:val="0"/>
                <w:color w:val="000000"/>
                <w:sz w:val="20"/>
                <w:szCs w:val="20"/>
                <w:u w:val="none"/>
              </w:rPr>
            </w:pPr>
          </w:p>
        </w:tc>
        <w:tc>
          <w:tcPr>
            <w:tcW w:w="1340" w:type="dxa"/>
            <w:tcBorders>
              <w:top w:val="nil"/>
              <w:left w:val="nil"/>
              <w:bottom w:val="nil"/>
              <w:right w:val="nil"/>
            </w:tcBorders>
            <w:shd w:val="clear" w:color="auto" w:fill="FFFFFF"/>
            <w:tcMar>
              <w:top w:w="15" w:type="dxa"/>
              <w:left w:w="15" w:type="dxa"/>
              <w:right w:w="15" w:type="dxa"/>
            </w:tcMar>
            <w:vAlign w:val="bottom"/>
          </w:tcPr>
          <w:p>
            <w:pPr>
              <w:rPr>
                <w:rFonts w:hint="default" w:ascii="Arial" w:hAnsi="Arial" w:cs="Arial"/>
                <w:i w:val="0"/>
                <w:color w:val="000000"/>
                <w:sz w:val="20"/>
                <w:szCs w:val="20"/>
                <w:u w:val="none"/>
              </w:rPr>
            </w:pPr>
          </w:p>
        </w:tc>
        <w:tc>
          <w:tcPr>
            <w:tcW w:w="1340" w:type="dxa"/>
            <w:tcBorders>
              <w:top w:val="nil"/>
              <w:left w:val="nil"/>
              <w:bottom w:val="nil"/>
              <w:right w:val="nil"/>
            </w:tcBorders>
            <w:shd w:val="clear" w:color="auto" w:fill="FFFFFF"/>
            <w:tcMar>
              <w:top w:w="15" w:type="dxa"/>
              <w:left w:w="15" w:type="dxa"/>
              <w:right w:w="15" w:type="dxa"/>
            </w:tcMar>
            <w:vAlign w:val="bottom"/>
          </w:tcPr>
          <w:p>
            <w:pPr>
              <w:rPr>
                <w:rFonts w:hint="default" w:ascii="Arial" w:hAnsi="Arial" w:cs="Arial"/>
                <w:i w:val="0"/>
                <w:color w:val="000000"/>
                <w:sz w:val="20"/>
                <w:szCs w:val="20"/>
                <w:u w:val="none"/>
              </w:rPr>
            </w:pPr>
          </w:p>
        </w:tc>
        <w:tc>
          <w:tcPr>
            <w:tcW w:w="1345" w:type="dxa"/>
            <w:tcBorders>
              <w:top w:val="nil"/>
              <w:left w:val="nil"/>
              <w:bottom w:val="nil"/>
              <w:right w:val="nil"/>
            </w:tcBorders>
            <w:shd w:val="clear" w:color="auto" w:fill="FFFFFF"/>
            <w:tcMar>
              <w:top w:w="15" w:type="dxa"/>
              <w:left w:w="15" w:type="dxa"/>
              <w:right w:w="15" w:type="dxa"/>
            </w:tcMar>
            <w:vAlign w:val="bottom"/>
          </w:tcPr>
          <w:p>
            <w:pPr>
              <w:rPr>
                <w:rFonts w:hint="default" w:ascii="Arial" w:hAnsi="Arial" w:cs="Arial"/>
                <w:i w:val="0"/>
                <w:color w:val="000000"/>
                <w:sz w:val="20"/>
                <w:szCs w:val="20"/>
                <w:u w:val="none"/>
              </w:rPr>
            </w:pPr>
          </w:p>
        </w:tc>
        <w:tc>
          <w:tcPr>
            <w:tcW w:w="2172" w:type="dxa"/>
            <w:tcBorders>
              <w:top w:val="nil"/>
              <w:left w:val="nil"/>
              <w:bottom w:val="nil"/>
              <w:right w:val="nil"/>
            </w:tcBorders>
            <w:shd w:val="clear" w:color="auto" w:fill="FFFFFF"/>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trHeight w:val="308" w:hRule="atLeast"/>
        </w:trPr>
        <w:tc>
          <w:tcPr>
            <w:tcW w:w="5373" w:type="dxa"/>
            <w:gridSpan w:val="4"/>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1340" w:type="dxa"/>
            <w:vMerge w:val="restart"/>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年初结转和结余</w:t>
            </w:r>
          </w:p>
        </w:tc>
        <w:tc>
          <w:tcPr>
            <w:tcW w:w="1340" w:type="dxa"/>
            <w:vMerge w:val="restart"/>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本年收入</w:t>
            </w:r>
          </w:p>
        </w:tc>
        <w:tc>
          <w:tcPr>
            <w:tcW w:w="4025" w:type="dxa"/>
            <w:gridSpan w:val="3"/>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w:t>
            </w:r>
          </w:p>
        </w:tc>
        <w:tc>
          <w:tcPr>
            <w:tcW w:w="2172" w:type="dxa"/>
            <w:vMerge w:val="restart"/>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年末结转和结余</w:t>
            </w:r>
          </w:p>
        </w:tc>
      </w:tr>
      <w:tr>
        <w:tblPrEx>
          <w:tblCellMar>
            <w:top w:w="0" w:type="dxa"/>
            <w:left w:w="0" w:type="dxa"/>
            <w:bottom w:w="0" w:type="dxa"/>
            <w:right w:w="0" w:type="dxa"/>
          </w:tblCellMar>
        </w:tblPrEx>
        <w:trPr>
          <w:trHeight w:val="308" w:hRule="atLeast"/>
        </w:trPr>
        <w:tc>
          <w:tcPr>
            <w:tcW w:w="4108" w:type="dxa"/>
            <w:gridSpan w:val="3"/>
            <w:vMerge w:val="restart"/>
            <w:tcBorders>
              <w:top w:val="nil"/>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1265" w:type="dxa"/>
            <w:vMerge w:val="restart"/>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340" w:type="dxa"/>
            <w:vMerge w:val="continue"/>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40" w:type="dxa"/>
            <w:vMerge w:val="continue"/>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40" w:type="dxa"/>
            <w:vMerge w:val="restart"/>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1340" w:type="dxa"/>
            <w:vMerge w:val="restart"/>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1345" w:type="dxa"/>
            <w:vMerge w:val="restart"/>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c>
          <w:tcPr>
            <w:tcW w:w="2172" w:type="dxa"/>
            <w:vMerge w:val="continue"/>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4108" w:type="dxa"/>
            <w:gridSpan w:val="3"/>
            <w:vMerge w:val="continue"/>
            <w:tcBorders>
              <w:top w:val="nil"/>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65" w:type="dxa"/>
            <w:vMerge w:val="continue"/>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40" w:type="dxa"/>
            <w:vMerge w:val="continue"/>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40" w:type="dxa"/>
            <w:vMerge w:val="continue"/>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40" w:type="dxa"/>
            <w:vMerge w:val="continue"/>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40" w:type="dxa"/>
            <w:vMerge w:val="continue"/>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45" w:type="dxa"/>
            <w:vMerge w:val="continue"/>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172" w:type="dxa"/>
            <w:vMerge w:val="continue"/>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4108" w:type="dxa"/>
            <w:gridSpan w:val="3"/>
            <w:vMerge w:val="continue"/>
            <w:tcBorders>
              <w:top w:val="nil"/>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65" w:type="dxa"/>
            <w:vMerge w:val="continue"/>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40" w:type="dxa"/>
            <w:vMerge w:val="continue"/>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40" w:type="dxa"/>
            <w:vMerge w:val="continue"/>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40" w:type="dxa"/>
            <w:vMerge w:val="continue"/>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40" w:type="dxa"/>
            <w:vMerge w:val="continue"/>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45" w:type="dxa"/>
            <w:vMerge w:val="continue"/>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172" w:type="dxa"/>
            <w:vMerge w:val="continue"/>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5373" w:type="dxa"/>
            <w:gridSpan w:val="4"/>
            <w:tcBorders>
              <w:top w:val="nil"/>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1340"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340"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340"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340"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345"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2172"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r>
      <w:tr>
        <w:tblPrEx>
          <w:tblCellMar>
            <w:top w:w="0" w:type="dxa"/>
            <w:left w:w="0" w:type="dxa"/>
            <w:bottom w:w="0" w:type="dxa"/>
            <w:right w:w="0" w:type="dxa"/>
          </w:tblCellMar>
        </w:tblPrEx>
        <w:trPr>
          <w:trHeight w:val="308" w:hRule="atLeast"/>
        </w:trPr>
        <w:tc>
          <w:tcPr>
            <w:tcW w:w="5373" w:type="dxa"/>
            <w:gridSpan w:val="4"/>
            <w:tcBorders>
              <w:top w:val="nil"/>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34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34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34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34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34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217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r>
      <w:tr>
        <w:tblPrEx>
          <w:tblCellMar>
            <w:top w:w="0" w:type="dxa"/>
            <w:left w:w="0" w:type="dxa"/>
            <w:bottom w:w="0" w:type="dxa"/>
            <w:right w:w="0" w:type="dxa"/>
          </w:tblCellMar>
        </w:tblPrEx>
        <w:trPr>
          <w:trHeight w:val="308" w:hRule="atLeast"/>
        </w:trPr>
        <w:tc>
          <w:tcPr>
            <w:tcW w:w="4108" w:type="dxa"/>
            <w:gridSpan w:val="3"/>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26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34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4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4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4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4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17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4108" w:type="dxa"/>
            <w:gridSpan w:val="3"/>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26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34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4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4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4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4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17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4108" w:type="dxa"/>
            <w:gridSpan w:val="3"/>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26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34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4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4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4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4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17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4108" w:type="dxa"/>
            <w:gridSpan w:val="3"/>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26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34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4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4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4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4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17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4108" w:type="dxa"/>
            <w:gridSpan w:val="3"/>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26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34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4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4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4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4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17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4108" w:type="dxa"/>
            <w:gridSpan w:val="3"/>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26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34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4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4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4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4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17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4250" w:type="dxa"/>
            <w:gridSpan w:val="10"/>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注：本表反映部门本年度政府性基金预算财政拨款收入、支出及结转和结余情况。本表金额转换为万元时，因四舍五入可能存在尾差。</w:t>
            </w:r>
          </w:p>
        </w:tc>
      </w:tr>
    </w:tbl>
    <w:p>
      <w:pPr>
        <w:spacing w:after="0"/>
        <w:jc w:val="both"/>
        <w:rPr>
          <w:sz w:val="20"/>
          <w:highlight w:val="yellow"/>
        </w:rPr>
      </w:pPr>
      <w:r>
        <w:rPr>
          <w:rFonts w:hint="eastAsia" w:ascii="仿宋_GB2312" w:hAnsi="仿宋_GB2312" w:eastAsia="仿宋_GB2312" w:cs="仿宋_GB2312"/>
          <w:color w:val="auto"/>
          <w:sz w:val="32"/>
          <w:szCs w:val="32"/>
          <w:highlight w:val="yellow"/>
          <w:lang w:val="en-US" w:eastAsia="zh-CN"/>
        </w:rPr>
        <w:t>说明：我部门没有政府性基金收入，也没有使用政府性基金安排的支出，故本表无数据。</w:t>
      </w:r>
    </w:p>
    <w:p>
      <w:pPr>
        <w:spacing w:after="0"/>
        <w:jc w:val="both"/>
        <w:rPr>
          <w:sz w:val="20"/>
          <w:highlight w:val="yellow"/>
        </w:rPr>
      </w:pPr>
    </w:p>
    <w:p>
      <w:pPr>
        <w:spacing w:after="0"/>
        <w:jc w:val="both"/>
        <w:rPr>
          <w:sz w:val="20"/>
          <w:highlight w:val="yellow"/>
        </w:rPr>
        <w:sectPr>
          <w:pgSz w:w="16840" w:h="11910" w:orient="landscape"/>
          <w:pgMar w:top="1100" w:right="1300" w:bottom="280" w:left="1320" w:header="720" w:footer="720" w:gutter="0"/>
          <w:cols w:space="720" w:num="1"/>
        </w:sect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spacing w:before="4"/>
        <w:rPr>
          <w:sz w:val="26"/>
        </w:rPr>
      </w:pPr>
    </w:p>
    <w:p>
      <w:pPr>
        <w:pStyle w:val="2"/>
        <w:ind w:left="1454" w:right="1735"/>
      </w:pPr>
      <w:r>
        <w:t>第三部分</w:t>
      </w:r>
    </w:p>
    <w:p>
      <w:pPr>
        <w:spacing w:before="9"/>
        <w:ind w:left="1454" w:right="1735" w:firstLine="0"/>
        <w:jc w:val="center"/>
        <w:rPr>
          <w:rFonts w:hint="eastAsia" w:ascii="黑体" w:eastAsia="黑体"/>
          <w:sz w:val="48"/>
        </w:rPr>
      </w:pPr>
      <w:r>
        <w:rPr>
          <w:rFonts w:hint="eastAsia" w:ascii="黑体" w:eastAsia="黑体"/>
          <w:sz w:val="48"/>
        </w:rPr>
        <w:t>201</w:t>
      </w:r>
      <w:r>
        <w:rPr>
          <w:rFonts w:hint="eastAsia" w:ascii="黑体" w:eastAsia="黑体"/>
          <w:sz w:val="48"/>
          <w:lang w:val="en-US" w:eastAsia="zh-CN"/>
        </w:rPr>
        <w:t>8</w:t>
      </w:r>
      <w:r>
        <w:rPr>
          <w:rFonts w:hint="eastAsia" w:ascii="黑体" w:eastAsia="黑体"/>
          <w:sz w:val="48"/>
        </w:rPr>
        <w:t xml:space="preserve"> 年度部门决算情况说明</w:t>
      </w:r>
    </w:p>
    <w:p>
      <w:pPr>
        <w:spacing w:after="0"/>
        <w:jc w:val="center"/>
        <w:rPr>
          <w:rFonts w:hint="eastAsia" w:ascii="黑体" w:eastAsia="黑体"/>
          <w:sz w:val="48"/>
        </w:rPr>
        <w:sectPr>
          <w:pgSz w:w="11910" w:h="16840"/>
          <w:pgMar w:top="1580" w:right="1200" w:bottom="280" w:left="1480" w:header="720" w:footer="720" w:gutter="0"/>
          <w:cols w:space="720" w:num="1"/>
        </w:sectPr>
      </w:pPr>
    </w:p>
    <w:p>
      <w:pPr>
        <w:pStyle w:val="5"/>
        <w:spacing w:before="35"/>
        <w:ind w:left="960"/>
        <w:rPr>
          <w:rFonts w:hint="eastAsia" w:ascii="黑体" w:eastAsia="黑体"/>
        </w:rPr>
      </w:pPr>
      <w:r>
        <w:rPr>
          <w:rFonts w:hint="eastAsia" w:ascii="黑体" w:eastAsia="黑体"/>
        </w:rPr>
        <w:t>一、收入支出决算总体情况说明</w:t>
      </w:r>
    </w:p>
    <w:p>
      <w:pPr>
        <w:pStyle w:val="5"/>
        <w:spacing w:before="179"/>
        <w:ind w:left="960"/>
      </w:pPr>
      <w:r>
        <w:t>201</w:t>
      </w:r>
      <w:r>
        <w:rPr>
          <w:rFonts w:hint="eastAsia"/>
          <w:lang w:val="en-US" w:eastAsia="zh-CN"/>
        </w:rPr>
        <w:t>8</w:t>
      </w:r>
      <w:r>
        <w:t xml:space="preserve"> 年度收入为</w:t>
      </w:r>
      <w:r>
        <w:rPr>
          <w:rFonts w:hint="eastAsia"/>
          <w:lang w:val="en-US" w:eastAsia="zh-CN"/>
        </w:rPr>
        <w:t>623.43</w:t>
      </w:r>
      <w:r>
        <w:t xml:space="preserve"> 万元，与 201</w:t>
      </w:r>
      <w:r>
        <w:rPr>
          <w:rFonts w:hint="eastAsia"/>
          <w:lang w:val="en-US" w:eastAsia="zh-CN"/>
        </w:rPr>
        <w:t>7</w:t>
      </w:r>
      <w:r>
        <w:t>年度相比，收入</w:t>
      </w:r>
    </w:p>
    <w:p>
      <w:pPr>
        <w:pStyle w:val="5"/>
        <w:spacing w:before="175" w:line="348" w:lineRule="auto"/>
        <w:ind w:left="320" w:right="439"/>
      </w:pPr>
      <w:r>
        <w:rPr>
          <w:position w:val="1"/>
        </w:rPr>
        <w:t>增加</w:t>
      </w:r>
      <w:r>
        <w:rPr>
          <w:rFonts w:hint="eastAsia"/>
          <w:position w:val="1"/>
          <w:lang w:val="en-US" w:eastAsia="zh-CN"/>
        </w:rPr>
        <w:t>49.05</w:t>
      </w:r>
      <w:r>
        <w:rPr>
          <w:position w:val="1"/>
        </w:rPr>
        <w:t>万元</w:t>
      </w:r>
      <w:r>
        <w:rPr>
          <w:spacing w:val="-46"/>
          <w:position w:val="1"/>
        </w:rPr>
        <w:t>，</w:t>
      </w:r>
      <w:r>
        <w:rPr>
          <w:position w:val="1"/>
        </w:rPr>
        <w:t>增长</w:t>
      </w:r>
      <w:r>
        <w:rPr>
          <w:rFonts w:hint="eastAsia"/>
          <w:position w:val="1"/>
          <w:lang w:val="en-US" w:eastAsia="zh-CN"/>
        </w:rPr>
        <w:t>7.8</w:t>
      </w:r>
      <w:r>
        <w:rPr>
          <w:spacing w:val="11"/>
          <w:w w:val="99"/>
        </w:rPr>
        <w:drawing>
          <wp:inline distT="0" distB="0" distL="0" distR="0">
            <wp:extent cx="85090" cy="15494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pic:cNvPicPr>
                  </pic:nvPicPr>
                  <pic:blipFill>
                    <a:blip r:embed="rId6" cstate="print"/>
                    <a:stretch>
                      <a:fillRect/>
                    </a:stretch>
                  </pic:blipFill>
                  <pic:spPr>
                    <a:xfrm>
                      <a:off x="0" y="0"/>
                      <a:ext cx="85724" cy="155574"/>
                    </a:xfrm>
                    <a:prstGeom prst="rect">
                      <a:avLst/>
                    </a:prstGeom>
                  </pic:spPr>
                </pic:pic>
              </a:graphicData>
            </a:graphic>
          </wp:inline>
        </w:drawing>
      </w:r>
      <w:r>
        <w:rPr>
          <w:spacing w:val="-46"/>
          <w:position w:val="1"/>
        </w:rPr>
        <w:t>，</w:t>
      </w:r>
      <w:r>
        <w:rPr>
          <w:position w:val="1"/>
        </w:rPr>
        <w:t>主要原因是社会治安保险项目、</w:t>
      </w:r>
      <w:r>
        <w:rPr>
          <w:spacing w:val="-3"/>
        </w:rPr>
        <w:t>司法救助项目、十九大安保维稳的拨款收入。</w:t>
      </w:r>
    </w:p>
    <w:p>
      <w:pPr>
        <w:pStyle w:val="5"/>
        <w:spacing w:before="3"/>
        <w:ind w:left="960"/>
        <w:rPr>
          <w:rFonts w:hint="eastAsia" w:ascii="黑体" w:eastAsia="黑体"/>
        </w:rPr>
      </w:pPr>
      <w:r>
        <w:rPr>
          <w:rFonts w:hint="eastAsia" w:ascii="黑体" w:eastAsia="黑体"/>
        </w:rPr>
        <w:t>二、收入决算情况说明</w:t>
      </w:r>
    </w:p>
    <w:p>
      <w:pPr>
        <w:pStyle w:val="5"/>
        <w:spacing w:before="180"/>
        <w:ind w:left="960"/>
      </w:pPr>
      <w:r>
        <w:t>201</w:t>
      </w:r>
      <w:r>
        <w:rPr>
          <w:rFonts w:hint="eastAsia"/>
          <w:lang w:val="en-US" w:eastAsia="zh-CN"/>
        </w:rPr>
        <w:t>8</w:t>
      </w:r>
      <w:r>
        <w:t xml:space="preserve"> 年度收入合计</w:t>
      </w:r>
      <w:r>
        <w:rPr>
          <w:rFonts w:hint="eastAsia"/>
          <w:lang w:val="en-US" w:eastAsia="zh-CN"/>
        </w:rPr>
        <w:t>623.43</w:t>
      </w:r>
      <w:r>
        <w:t xml:space="preserve"> 万元，其中：财政拨款收入</w:t>
      </w:r>
    </w:p>
    <w:p>
      <w:pPr>
        <w:pStyle w:val="5"/>
        <w:spacing w:before="186" w:line="345" w:lineRule="auto"/>
        <w:ind w:left="320" w:right="600"/>
        <w:jc w:val="both"/>
      </w:pPr>
      <w:r>
        <w:rPr>
          <w:rFonts w:hint="eastAsia"/>
          <w:lang w:val="en-US" w:eastAsia="zh-CN"/>
        </w:rPr>
        <w:t>623.43</w:t>
      </w:r>
      <w:r>
        <w:t xml:space="preserve"> </w:t>
      </w:r>
      <w:r>
        <w:rPr>
          <w:spacing w:val="5"/>
        </w:rPr>
        <w:t>万</w:t>
      </w:r>
      <w:r>
        <w:t>元</w:t>
      </w:r>
      <w:r>
        <w:rPr>
          <w:spacing w:val="5"/>
        </w:rPr>
        <w:t>，</w:t>
      </w:r>
      <w:r>
        <w:t>占</w:t>
      </w:r>
      <w:r>
        <w:rPr>
          <w:spacing w:val="-81"/>
        </w:rPr>
        <w:t xml:space="preserve"> </w:t>
      </w:r>
      <w:r>
        <w:rPr>
          <w:spacing w:val="3"/>
        </w:rPr>
        <w:t>100</w:t>
      </w:r>
      <w:r>
        <w:rPr>
          <w:spacing w:val="8"/>
          <w:w w:val="99"/>
        </w:rPr>
        <w:drawing>
          <wp:inline distT="0" distB="0" distL="0" distR="0">
            <wp:extent cx="85090" cy="154940"/>
            <wp:effectExtent l="0" t="0" r="0" b="0"/>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png"/>
                    <pic:cNvPicPr>
                      <a:picLocks noChangeAspect="1"/>
                    </pic:cNvPicPr>
                  </pic:nvPicPr>
                  <pic:blipFill>
                    <a:blip r:embed="rId6" cstate="print"/>
                    <a:stretch>
                      <a:fillRect/>
                    </a:stretch>
                  </pic:blipFill>
                  <pic:spPr>
                    <a:xfrm>
                      <a:off x="0" y="0"/>
                      <a:ext cx="85724" cy="155574"/>
                    </a:xfrm>
                    <a:prstGeom prst="rect">
                      <a:avLst/>
                    </a:prstGeom>
                  </pic:spPr>
                </pic:pic>
              </a:graphicData>
            </a:graphic>
          </wp:inline>
        </w:drawing>
      </w:r>
      <w:r>
        <w:rPr>
          <w:spacing w:val="5"/>
        </w:rPr>
        <w:t>；</w:t>
      </w:r>
      <w:r>
        <w:t>上</w:t>
      </w:r>
      <w:r>
        <w:rPr>
          <w:spacing w:val="5"/>
        </w:rPr>
        <w:t>级补</w:t>
      </w:r>
      <w:r>
        <w:t>助</w:t>
      </w:r>
      <w:r>
        <w:rPr>
          <w:spacing w:val="5"/>
        </w:rPr>
        <w:t>收</w:t>
      </w:r>
      <w:r>
        <w:t>入</w:t>
      </w:r>
      <w:r>
        <w:rPr>
          <w:spacing w:val="-78"/>
        </w:rPr>
        <w:t xml:space="preserve"> </w:t>
      </w:r>
      <w:r>
        <w:t>0</w:t>
      </w:r>
      <w:r>
        <w:rPr>
          <w:spacing w:val="-77"/>
        </w:rPr>
        <w:t xml:space="preserve"> </w:t>
      </w:r>
      <w:r>
        <w:rPr>
          <w:spacing w:val="5"/>
        </w:rPr>
        <w:t>万</w:t>
      </w:r>
      <w:r>
        <w:t>元</w:t>
      </w:r>
      <w:r>
        <w:rPr>
          <w:spacing w:val="5"/>
        </w:rPr>
        <w:t>，</w:t>
      </w:r>
      <w:r>
        <w:t>占</w:t>
      </w:r>
      <w:r>
        <w:rPr>
          <w:spacing w:val="-81"/>
        </w:rPr>
        <w:t xml:space="preserve"> </w:t>
      </w:r>
      <w:r>
        <w:rPr>
          <w:spacing w:val="11"/>
        </w:rPr>
        <w:t>0</w:t>
      </w:r>
      <w:r>
        <w:rPr>
          <w:spacing w:val="11"/>
          <w:w w:val="99"/>
        </w:rPr>
        <w:drawing>
          <wp:inline distT="0" distB="0" distL="0" distR="0">
            <wp:extent cx="85090" cy="154940"/>
            <wp:effectExtent l="0" t="0" r="0" b="0"/>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1.png"/>
                    <pic:cNvPicPr>
                      <a:picLocks noChangeAspect="1"/>
                    </pic:cNvPicPr>
                  </pic:nvPicPr>
                  <pic:blipFill>
                    <a:blip r:embed="rId6" cstate="print"/>
                    <a:stretch>
                      <a:fillRect/>
                    </a:stretch>
                  </pic:blipFill>
                  <pic:spPr>
                    <a:xfrm>
                      <a:off x="0" y="0"/>
                      <a:ext cx="85724" cy="155574"/>
                    </a:xfrm>
                    <a:prstGeom prst="rect">
                      <a:avLst/>
                    </a:prstGeom>
                  </pic:spPr>
                </pic:pic>
              </a:graphicData>
            </a:graphic>
          </wp:inline>
        </w:drawing>
      </w:r>
      <w:r>
        <w:rPr>
          <w:spacing w:val="5"/>
        </w:rPr>
        <w:t>；</w:t>
      </w:r>
      <w:r>
        <w:t>事业</w:t>
      </w:r>
      <w:r>
        <w:rPr>
          <w:spacing w:val="7"/>
        </w:rPr>
        <w:t>收</w:t>
      </w:r>
      <w:r>
        <w:t>入</w:t>
      </w:r>
      <w:r>
        <w:rPr>
          <w:spacing w:val="-77"/>
        </w:rPr>
        <w:t xml:space="preserve"> </w:t>
      </w:r>
      <w:r>
        <w:t>0</w:t>
      </w:r>
      <w:r>
        <w:rPr>
          <w:spacing w:val="-77"/>
        </w:rPr>
        <w:t xml:space="preserve"> </w:t>
      </w:r>
      <w:r>
        <w:rPr>
          <w:spacing w:val="7"/>
        </w:rPr>
        <w:t>万元，</w:t>
      </w:r>
      <w:r>
        <w:t>占</w:t>
      </w:r>
      <w:r>
        <w:rPr>
          <w:spacing w:val="-76"/>
        </w:rPr>
        <w:t xml:space="preserve"> </w:t>
      </w:r>
      <w:r>
        <w:rPr>
          <w:spacing w:val="11"/>
        </w:rPr>
        <w:t>0</w:t>
      </w:r>
      <w:r>
        <w:rPr>
          <w:spacing w:val="11"/>
          <w:w w:val="99"/>
        </w:rPr>
        <w:drawing>
          <wp:inline distT="0" distB="0" distL="0" distR="0">
            <wp:extent cx="85090" cy="154940"/>
            <wp:effectExtent l="0" t="0" r="0" b="0"/>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1.png"/>
                    <pic:cNvPicPr>
                      <a:picLocks noChangeAspect="1"/>
                    </pic:cNvPicPr>
                  </pic:nvPicPr>
                  <pic:blipFill>
                    <a:blip r:embed="rId6" cstate="print"/>
                    <a:stretch>
                      <a:fillRect/>
                    </a:stretch>
                  </pic:blipFill>
                  <pic:spPr>
                    <a:xfrm>
                      <a:off x="0" y="0"/>
                      <a:ext cx="85724" cy="155574"/>
                    </a:xfrm>
                    <a:prstGeom prst="rect">
                      <a:avLst/>
                    </a:prstGeom>
                  </pic:spPr>
                </pic:pic>
              </a:graphicData>
            </a:graphic>
          </wp:inline>
        </w:drawing>
      </w:r>
      <w:r>
        <w:rPr>
          <w:spacing w:val="7"/>
        </w:rPr>
        <w:t>；经营</w:t>
      </w:r>
      <w:r>
        <w:rPr>
          <w:spacing w:val="5"/>
        </w:rPr>
        <w:t>收</w:t>
      </w:r>
      <w:r>
        <w:rPr>
          <w:spacing w:val="7"/>
        </w:rPr>
        <w:t>入万元，</w:t>
      </w:r>
      <w:r>
        <w:t>占</w:t>
      </w:r>
      <w:r>
        <w:rPr>
          <w:spacing w:val="-84"/>
        </w:rPr>
        <w:t xml:space="preserve"> </w:t>
      </w:r>
      <w:r>
        <w:rPr>
          <w:spacing w:val="11"/>
        </w:rPr>
        <w:t>0</w:t>
      </w:r>
      <w:r>
        <w:rPr>
          <w:spacing w:val="11"/>
          <w:w w:val="99"/>
        </w:rPr>
        <w:drawing>
          <wp:inline distT="0" distB="0" distL="0" distR="0">
            <wp:extent cx="85090" cy="154940"/>
            <wp:effectExtent l="0" t="0" r="0" b="0"/>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1.png"/>
                    <pic:cNvPicPr>
                      <a:picLocks noChangeAspect="1"/>
                    </pic:cNvPicPr>
                  </pic:nvPicPr>
                  <pic:blipFill>
                    <a:blip r:embed="rId6" cstate="print"/>
                    <a:stretch>
                      <a:fillRect/>
                    </a:stretch>
                  </pic:blipFill>
                  <pic:spPr>
                    <a:xfrm>
                      <a:off x="0" y="0"/>
                      <a:ext cx="85724" cy="155574"/>
                    </a:xfrm>
                    <a:prstGeom prst="rect">
                      <a:avLst/>
                    </a:prstGeom>
                  </pic:spPr>
                </pic:pic>
              </a:graphicData>
            </a:graphic>
          </wp:inline>
        </w:drawing>
      </w:r>
      <w:r>
        <w:rPr>
          <w:spacing w:val="7"/>
        </w:rPr>
        <w:t>；附属</w:t>
      </w:r>
      <w:r>
        <w:rPr>
          <w:spacing w:val="5"/>
        </w:rPr>
        <w:t>单</w:t>
      </w:r>
      <w:r>
        <w:rPr>
          <w:spacing w:val="7"/>
        </w:rPr>
        <w:t>位上</w:t>
      </w:r>
      <w:r>
        <w:t>缴收入</w:t>
      </w:r>
      <w:r>
        <w:rPr>
          <w:spacing w:val="-81"/>
        </w:rPr>
        <w:t xml:space="preserve"> </w:t>
      </w:r>
      <w:r>
        <w:t>0</w:t>
      </w:r>
      <w:r>
        <w:rPr>
          <w:spacing w:val="-82"/>
        </w:rPr>
        <w:t xml:space="preserve"> </w:t>
      </w:r>
      <w:r>
        <w:t>万元，占</w:t>
      </w:r>
      <w:r>
        <w:rPr>
          <w:spacing w:val="-80"/>
        </w:rPr>
        <w:t xml:space="preserve"> </w:t>
      </w:r>
      <w:r>
        <w:rPr>
          <w:spacing w:val="11"/>
        </w:rPr>
        <w:t>0</w:t>
      </w:r>
      <w:r>
        <w:rPr>
          <w:spacing w:val="11"/>
          <w:w w:val="99"/>
        </w:rPr>
        <w:drawing>
          <wp:inline distT="0" distB="0" distL="0" distR="0">
            <wp:extent cx="85090" cy="154940"/>
            <wp:effectExtent l="0" t="0" r="0" b="0"/>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1.png"/>
                    <pic:cNvPicPr>
                      <a:picLocks noChangeAspect="1"/>
                    </pic:cNvPicPr>
                  </pic:nvPicPr>
                  <pic:blipFill>
                    <a:blip r:embed="rId6" cstate="print"/>
                    <a:stretch>
                      <a:fillRect/>
                    </a:stretch>
                  </pic:blipFill>
                  <pic:spPr>
                    <a:xfrm>
                      <a:off x="0" y="0"/>
                      <a:ext cx="85724" cy="155574"/>
                    </a:xfrm>
                    <a:prstGeom prst="rect">
                      <a:avLst/>
                    </a:prstGeom>
                  </pic:spPr>
                </pic:pic>
              </a:graphicData>
            </a:graphic>
          </wp:inline>
        </w:drawing>
      </w:r>
      <w:r>
        <w:t>；其他收入</w:t>
      </w:r>
      <w:r>
        <w:rPr>
          <w:spacing w:val="-81"/>
        </w:rPr>
        <w:t xml:space="preserve"> </w:t>
      </w:r>
      <w:r>
        <w:t>0</w:t>
      </w:r>
      <w:r>
        <w:rPr>
          <w:spacing w:val="-82"/>
        </w:rPr>
        <w:t xml:space="preserve"> </w:t>
      </w:r>
      <w:r>
        <w:t>万元，占</w:t>
      </w:r>
      <w:r>
        <w:rPr>
          <w:spacing w:val="-81"/>
        </w:rPr>
        <w:t xml:space="preserve"> </w:t>
      </w:r>
      <w:r>
        <w:rPr>
          <w:spacing w:val="11"/>
        </w:rPr>
        <w:t>0</w:t>
      </w:r>
      <w:r>
        <w:rPr>
          <w:spacing w:val="11"/>
          <w:w w:val="99"/>
        </w:rPr>
        <w:drawing>
          <wp:inline distT="0" distB="0" distL="0" distR="0">
            <wp:extent cx="85090" cy="154940"/>
            <wp:effectExtent l="0" t="0" r="0" b="0"/>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1.png"/>
                    <pic:cNvPicPr>
                      <a:picLocks noChangeAspect="1"/>
                    </pic:cNvPicPr>
                  </pic:nvPicPr>
                  <pic:blipFill>
                    <a:blip r:embed="rId6" cstate="print"/>
                    <a:stretch>
                      <a:fillRect/>
                    </a:stretch>
                  </pic:blipFill>
                  <pic:spPr>
                    <a:xfrm>
                      <a:off x="0" y="0"/>
                      <a:ext cx="85724" cy="155574"/>
                    </a:xfrm>
                    <a:prstGeom prst="rect">
                      <a:avLst/>
                    </a:prstGeom>
                  </pic:spPr>
                </pic:pic>
              </a:graphicData>
            </a:graphic>
          </wp:inline>
        </w:drawing>
      </w:r>
      <w:r>
        <w:t>。</w:t>
      </w:r>
    </w:p>
    <w:p>
      <w:pPr>
        <w:pStyle w:val="5"/>
        <w:spacing w:line="403" w:lineRule="exact"/>
        <w:ind w:left="960"/>
        <w:rPr>
          <w:rFonts w:hint="eastAsia" w:ascii="黑体" w:eastAsia="黑体"/>
        </w:rPr>
      </w:pPr>
      <w:r>
        <w:rPr>
          <w:rFonts w:hint="eastAsia" w:ascii="黑体" w:eastAsia="黑体"/>
        </w:rPr>
        <w:t>三、支出决算情况说明</w:t>
      </w:r>
    </w:p>
    <w:p>
      <w:pPr>
        <w:pStyle w:val="5"/>
        <w:keepNext w:val="0"/>
        <w:keepLines w:val="0"/>
        <w:pageBreakBefore w:val="0"/>
        <w:widowControl w:val="0"/>
        <w:kinsoku/>
        <w:wordWrap/>
        <w:overflowPunct/>
        <w:topLinePunct w:val="0"/>
        <w:autoSpaceDE w:val="0"/>
        <w:autoSpaceDN w:val="0"/>
        <w:bidi w:val="0"/>
        <w:adjustRightInd/>
        <w:snapToGrid/>
        <w:spacing w:before="180" w:line="360" w:lineRule="auto"/>
        <w:ind w:left="319" w:leftChars="145" w:firstLine="320" w:firstLineChars="100"/>
        <w:textAlignment w:val="auto"/>
        <w:outlineLvl w:val="9"/>
      </w:pPr>
      <w:r>
        <w:t>201</w:t>
      </w:r>
      <w:r>
        <w:rPr>
          <w:rFonts w:hint="eastAsia"/>
          <w:lang w:val="en-US" w:eastAsia="zh-CN"/>
        </w:rPr>
        <w:t>8</w:t>
      </w:r>
      <w:r>
        <w:rPr>
          <w:spacing w:val="-23"/>
        </w:rPr>
        <w:t xml:space="preserve"> 年度支出合计</w:t>
      </w:r>
      <w:r>
        <w:rPr>
          <w:rFonts w:hint="eastAsia"/>
          <w:lang w:val="en-US" w:eastAsia="zh-CN"/>
        </w:rPr>
        <w:t>623.43</w:t>
      </w:r>
      <w:r>
        <w:t xml:space="preserve"> </w:t>
      </w:r>
      <w:r>
        <w:rPr>
          <w:spacing w:val="-44"/>
        </w:rPr>
        <w:t>万元，其中：基本支出</w:t>
      </w:r>
      <w:r>
        <w:rPr>
          <w:rFonts w:hint="eastAsia"/>
          <w:spacing w:val="-44"/>
          <w:lang w:val="en-US" w:eastAsia="zh-CN"/>
        </w:rPr>
        <w:t>236.15</w:t>
      </w:r>
      <w:r>
        <w:rPr>
          <w:spacing w:val="9"/>
        </w:rPr>
        <w:t>万</w:t>
      </w:r>
      <w:r>
        <w:rPr>
          <w:spacing w:val="12"/>
        </w:rPr>
        <w:t>元</w:t>
      </w:r>
      <w:r>
        <w:rPr>
          <w:spacing w:val="9"/>
        </w:rPr>
        <w:t>，</w:t>
      </w:r>
      <w:r>
        <w:t>占</w:t>
      </w:r>
      <w:r>
        <w:rPr>
          <w:spacing w:val="-74"/>
        </w:rPr>
        <w:t xml:space="preserve"> </w:t>
      </w:r>
      <w:r>
        <w:rPr>
          <w:rFonts w:hint="eastAsia"/>
          <w:spacing w:val="3"/>
          <w:lang w:val="en-US" w:eastAsia="zh-CN"/>
        </w:rPr>
        <w:t>37.87%</w:t>
      </w:r>
      <w:r>
        <w:rPr>
          <w:spacing w:val="9"/>
        </w:rPr>
        <w:t>；</w:t>
      </w:r>
      <w:r>
        <w:rPr>
          <w:spacing w:val="12"/>
        </w:rPr>
        <w:t>项</w:t>
      </w:r>
      <w:r>
        <w:rPr>
          <w:spacing w:val="9"/>
        </w:rPr>
        <w:t>目</w:t>
      </w:r>
      <w:r>
        <w:rPr>
          <w:spacing w:val="12"/>
        </w:rPr>
        <w:t>支</w:t>
      </w:r>
      <w:r>
        <w:t>出</w:t>
      </w:r>
      <w:r>
        <w:rPr>
          <w:rFonts w:hint="eastAsia"/>
          <w:lang w:val="en-US" w:eastAsia="zh-CN"/>
        </w:rPr>
        <w:t>352.42</w:t>
      </w:r>
      <w:r>
        <w:rPr>
          <w:spacing w:val="9"/>
        </w:rPr>
        <w:t>万</w:t>
      </w:r>
      <w:r>
        <w:rPr>
          <w:spacing w:val="12"/>
        </w:rPr>
        <w:t>元</w:t>
      </w:r>
      <w:r>
        <w:rPr>
          <w:spacing w:val="9"/>
        </w:rPr>
        <w:t>，</w:t>
      </w:r>
      <w:r>
        <w:rPr>
          <w:rFonts w:hint="eastAsia"/>
          <w:spacing w:val="9"/>
          <w:lang w:val="en-US" w:eastAsia="zh-CN"/>
        </w:rPr>
        <w:t>占56.52%</w:t>
      </w:r>
      <w:r>
        <w:rPr>
          <w:spacing w:val="9"/>
        </w:rPr>
        <w:t>；</w:t>
      </w:r>
      <w:r>
        <w:rPr>
          <w:spacing w:val="12"/>
        </w:rPr>
        <w:t>上</w:t>
      </w:r>
      <w:r>
        <w:rPr>
          <w:spacing w:val="9"/>
        </w:rPr>
        <w:t>缴</w:t>
      </w:r>
      <w:r>
        <w:rPr>
          <w:spacing w:val="12"/>
        </w:rPr>
        <w:t>上</w:t>
      </w:r>
      <w:r>
        <w:rPr>
          <w:spacing w:val="9"/>
        </w:rPr>
        <w:t>级</w:t>
      </w:r>
      <w:r>
        <w:rPr>
          <w:spacing w:val="12"/>
        </w:rPr>
        <w:t>支</w:t>
      </w:r>
      <w:r>
        <w:t>出</w:t>
      </w:r>
      <w:r>
        <w:rPr>
          <w:spacing w:val="-78"/>
        </w:rPr>
        <w:t xml:space="preserve"> </w:t>
      </w:r>
      <w:r>
        <w:t>0</w:t>
      </w:r>
      <w:r>
        <w:rPr>
          <w:spacing w:val="7"/>
          <w:position w:val="1"/>
        </w:rPr>
        <w:t>万元，</w:t>
      </w:r>
      <w:r>
        <w:rPr>
          <w:position w:val="1"/>
        </w:rPr>
        <w:t>占</w:t>
      </w:r>
      <w:r>
        <w:rPr>
          <w:spacing w:val="-79"/>
          <w:position w:val="1"/>
        </w:rPr>
        <w:t xml:space="preserve"> </w:t>
      </w:r>
      <w:r>
        <w:rPr>
          <w:spacing w:val="11"/>
          <w:position w:val="1"/>
        </w:rPr>
        <w:t>0</w:t>
      </w:r>
      <w:r>
        <w:rPr>
          <w:spacing w:val="11"/>
          <w:w w:val="99"/>
        </w:rPr>
        <w:drawing>
          <wp:inline distT="0" distB="0" distL="0" distR="0">
            <wp:extent cx="85090" cy="154940"/>
            <wp:effectExtent l="0" t="0" r="0" b="0"/>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1.png"/>
                    <pic:cNvPicPr>
                      <a:picLocks noChangeAspect="1"/>
                    </pic:cNvPicPr>
                  </pic:nvPicPr>
                  <pic:blipFill>
                    <a:blip r:embed="rId6" cstate="print"/>
                    <a:stretch>
                      <a:fillRect/>
                    </a:stretch>
                  </pic:blipFill>
                  <pic:spPr>
                    <a:xfrm>
                      <a:off x="0" y="0"/>
                      <a:ext cx="85724" cy="155574"/>
                    </a:xfrm>
                    <a:prstGeom prst="rect">
                      <a:avLst/>
                    </a:prstGeom>
                  </pic:spPr>
                </pic:pic>
              </a:graphicData>
            </a:graphic>
          </wp:inline>
        </w:drawing>
      </w:r>
      <w:r>
        <w:rPr>
          <w:spacing w:val="7"/>
          <w:position w:val="1"/>
        </w:rPr>
        <w:t>；经营</w:t>
      </w:r>
      <w:r>
        <w:rPr>
          <w:spacing w:val="5"/>
          <w:position w:val="1"/>
        </w:rPr>
        <w:t>支</w:t>
      </w:r>
      <w:r>
        <w:rPr>
          <w:position w:val="1"/>
        </w:rPr>
        <w:t>出</w:t>
      </w:r>
      <w:r>
        <w:rPr>
          <w:spacing w:val="-74"/>
          <w:position w:val="1"/>
        </w:rPr>
        <w:t xml:space="preserve"> </w:t>
      </w:r>
      <w:r>
        <w:rPr>
          <w:position w:val="1"/>
        </w:rPr>
        <w:t>0</w:t>
      </w:r>
      <w:r>
        <w:rPr>
          <w:spacing w:val="-79"/>
          <w:position w:val="1"/>
        </w:rPr>
        <w:t xml:space="preserve"> </w:t>
      </w:r>
      <w:r>
        <w:rPr>
          <w:spacing w:val="7"/>
          <w:position w:val="1"/>
        </w:rPr>
        <w:t>万元，</w:t>
      </w:r>
      <w:r>
        <w:rPr>
          <w:position w:val="1"/>
        </w:rPr>
        <w:t>占</w:t>
      </w:r>
      <w:r>
        <w:rPr>
          <w:spacing w:val="-74"/>
          <w:position w:val="1"/>
        </w:rPr>
        <w:t xml:space="preserve"> </w:t>
      </w:r>
      <w:r>
        <w:rPr>
          <w:spacing w:val="11"/>
          <w:position w:val="1"/>
        </w:rPr>
        <w:t>0</w:t>
      </w:r>
      <w:r>
        <w:rPr>
          <w:spacing w:val="-160"/>
          <w:position w:val="1"/>
        </w:rPr>
        <w:t xml:space="preserve"> </w:t>
      </w:r>
      <w:r>
        <w:rPr>
          <w:spacing w:val="11"/>
          <w:w w:val="99"/>
        </w:rPr>
        <w:drawing>
          <wp:inline distT="0" distB="0" distL="0" distR="0">
            <wp:extent cx="85090" cy="154940"/>
            <wp:effectExtent l="0" t="0" r="0" b="0"/>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png"/>
                    <pic:cNvPicPr>
                      <a:picLocks noChangeAspect="1"/>
                    </pic:cNvPicPr>
                  </pic:nvPicPr>
                  <pic:blipFill>
                    <a:blip r:embed="rId6" cstate="print"/>
                    <a:stretch>
                      <a:fillRect/>
                    </a:stretch>
                  </pic:blipFill>
                  <pic:spPr>
                    <a:xfrm>
                      <a:off x="0" y="0"/>
                      <a:ext cx="85724" cy="155574"/>
                    </a:xfrm>
                    <a:prstGeom prst="rect">
                      <a:avLst/>
                    </a:prstGeom>
                  </pic:spPr>
                </pic:pic>
              </a:graphicData>
            </a:graphic>
          </wp:inline>
        </w:drawing>
      </w:r>
      <w:r>
        <w:rPr>
          <w:spacing w:val="7"/>
          <w:w w:val="95"/>
          <w:position w:val="1"/>
        </w:rPr>
        <w:t>；对附</w:t>
      </w:r>
      <w:r>
        <w:rPr>
          <w:spacing w:val="5"/>
          <w:w w:val="95"/>
          <w:position w:val="1"/>
        </w:rPr>
        <w:t>属</w:t>
      </w:r>
      <w:r>
        <w:rPr>
          <w:spacing w:val="7"/>
          <w:w w:val="95"/>
          <w:position w:val="1"/>
        </w:rPr>
        <w:t>单位补助</w:t>
      </w:r>
      <w:r>
        <w:rPr>
          <w:w w:val="95"/>
          <w:position w:val="1"/>
        </w:rPr>
        <w:t>支</w:t>
      </w:r>
      <w:r>
        <w:rPr>
          <w:position w:val="1"/>
        </w:rPr>
        <w:t>出</w:t>
      </w:r>
      <w:r>
        <w:rPr>
          <w:spacing w:val="-81"/>
          <w:position w:val="1"/>
        </w:rPr>
        <w:t xml:space="preserve"> </w:t>
      </w:r>
      <w:r>
        <w:rPr>
          <w:position w:val="1"/>
        </w:rPr>
        <w:t>0</w:t>
      </w:r>
      <w:r>
        <w:rPr>
          <w:spacing w:val="-81"/>
          <w:position w:val="1"/>
        </w:rPr>
        <w:t xml:space="preserve"> </w:t>
      </w:r>
      <w:r>
        <w:rPr>
          <w:position w:val="1"/>
        </w:rPr>
        <w:t>万元，占</w:t>
      </w:r>
      <w:r>
        <w:rPr>
          <w:spacing w:val="-82"/>
          <w:position w:val="1"/>
        </w:rPr>
        <w:t xml:space="preserve"> </w:t>
      </w:r>
      <w:r>
        <w:rPr>
          <w:spacing w:val="11"/>
          <w:position w:val="1"/>
        </w:rPr>
        <w:t>0</w:t>
      </w:r>
      <w:r>
        <w:rPr>
          <w:spacing w:val="11"/>
          <w:w w:val="99"/>
        </w:rPr>
        <w:drawing>
          <wp:inline distT="0" distB="0" distL="0" distR="0">
            <wp:extent cx="85090" cy="154940"/>
            <wp:effectExtent l="0" t="0" r="0" b="0"/>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1.png"/>
                    <pic:cNvPicPr>
                      <a:picLocks noChangeAspect="1"/>
                    </pic:cNvPicPr>
                  </pic:nvPicPr>
                  <pic:blipFill>
                    <a:blip r:embed="rId6" cstate="print"/>
                    <a:stretch>
                      <a:fillRect/>
                    </a:stretch>
                  </pic:blipFill>
                  <pic:spPr>
                    <a:xfrm>
                      <a:off x="0" y="0"/>
                      <a:ext cx="85724" cy="155574"/>
                    </a:xfrm>
                    <a:prstGeom prst="rect">
                      <a:avLst/>
                    </a:prstGeom>
                  </pic:spPr>
                </pic:pic>
              </a:graphicData>
            </a:graphic>
          </wp:inline>
        </w:drawing>
      </w:r>
      <w:r>
        <w:rPr>
          <w:position w:val="1"/>
        </w:rPr>
        <w:t>。</w:t>
      </w:r>
    </w:p>
    <w:p>
      <w:pPr>
        <w:pStyle w:val="5"/>
        <w:spacing w:before="183"/>
        <w:ind w:left="960"/>
        <w:rPr>
          <w:rFonts w:hint="eastAsia" w:ascii="黑体" w:eastAsia="黑体"/>
        </w:rPr>
      </w:pPr>
      <w:r>
        <w:rPr>
          <w:rFonts w:hint="eastAsia" w:ascii="黑体" w:eastAsia="黑体"/>
        </w:rPr>
        <w:t>四、财政拨款收入支出决算总体情况说明</w:t>
      </w:r>
    </w:p>
    <w:p>
      <w:pPr>
        <w:pStyle w:val="5"/>
        <w:spacing w:before="181"/>
        <w:ind w:left="960"/>
      </w:pPr>
      <w:r>
        <w:t>20</w:t>
      </w:r>
      <w:r>
        <w:rPr>
          <w:rFonts w:hint="eastAsia"/>
          <w:lang w:val="en-US" w:eastAsia="zh-CN"/>
        </w:rPr>
        <w:t>18</w:t>
      </w:r>
      <w:r>
        <w:rPr>
          <w:spacing w:val="-17"/>
        </w:rPr>
        <w:t xml:space="preserve"> 年度财政拨款收入为 </w:t>
      </w:r>
      <w:r>
        <w:rPr>
          <w:rFonts w:hint="eastAsia"/>
          <w:lang w:val="en-US" w:eastAsia="zh-CN"/>
        </w:rPr>
        <w:t>623.43</w:t>
      </w:r>
      <w:r>
        <w:rPr>
          <w:spacing w:val="-44"/>
        </w:rPr>
        <w:t xml:space="preserve">万元，与 </w:t>
      </w:r>
      <w:r>
        <w:t>201</w:t>
      </w:r>
      <w:r>
        <w:rPr>
          <w:rFonts w:hint="eastAsia"/>
          <w:lang w:val="en-US" w:eastAsia="zh-CN"/>
        </w:rPr>
        <w:t>7</w:t>
      </w:r>
      <w:r>
        <w:rPr>
          <w:spacing w:val="-21"/>
        </w:rPr>
        <w:t xml:space="preserve"> 年度相</w:t>
      </w:r>
    </w:p>
    <w:p>
      <w:pPr>
        <w:pStyle w:val="5"/>
        <w:spacing w:before="175" w:line="348" w:lineRule="auto"/>
        <w:ind w:left="320" w:right="439"/>
      </w:pPr>
      <w:r>
        <w:rPr>
          <w:spacing w:val="5"/>
        </w:rPr>
        <w:t>比</w:t>
      </w:r>
      <w:r>
        <w:t>，</w:t>
      </w:r>
      <w:r>
        <w:rPr>
          <w:spacing w:val="5"/>
        </w:rPr>
        <w:t>财</w:t>
      </w:r>
      <w:r>
        <w:t>政</w:t>
      </w:r>
      <w:r>
        <w:rPr>
          <w:spacing w:val="5"/>
        </w:rPr>
        <w:t>拨</w:t>
      </w:r>
      <w:r>
        <w:t>款</w:t>
      </w:r>
      <w:r>
        <w:rPr>
          <w:spacing w:val="5"/>
        </w:rPr>
        <w:t>收入</w:t>
      </w:r>
      <w:r>
        <w:t>增加</w:t>
      </w:r>
      <w:r>
        <w:rPr>
          <w:spacing w:val="-78"/>
        </w:rPr>
        <w:t xml:space="preserve"> </w:t>
      </w:r>
      <w:r>
        <w:rPr>
          <w:spacing w:val="-78"/>
          <w:position w:val="1"/>
        </w:rPr>
        <w:t xml:space="preserve"> </w:t>
      </w:r>
      <w:r>
        <w:rPr>
          <w:rFonts w:hint="eastAsia"/>
          <w:position w:val="1"/>
          <w:lang w:val="en-US" w:eastAsia="zh-CN"/>
        </w:rPr>
        <w:t>49.05</w:t>
      </w:r>
      <w:r>
        <w:rPr>
          <w:spacing w:val="5"/>
        </w:rPr>
        <w:t>万</w:t>
      </w:r>
      <w:r>
        <w:t>元</w:t>
      </w:r>
      <w:r>
        <w:rPr>
          <w:spacing w:val="5"/>
        </w:rPr>
        <w:t>，</w:t>
      </w:r>
      <w:r>
        <w:rPr>
          <w:position w:val="1"/>
        </w:rPr>
        <w:t>增长</w:t>
      </w:r>
      <w:r>
        <w:rPr>
          <w:spacing w:val="-78"/>
          <w:position w:val="1"/>
        </w:rPr>
        <w:t xml:space="preserve"> </w:t>
      </w:r>
      <w:r>
        <w:rPr>
          <w:spacing w:val="-82"/>
          <w:position w:val="1"/>
        </w:rPr>
        <w:t xml:space="preserve"> </w:t>
      </w:r>
      <w:r>
        <w:rPr>
          <w:rFonts w:hint="eastAsia"/>
          <w:spacing w:val="6"/>
          <w:position w:val="1"/>
          <w:lang w:val="en-US" w:eastAsia="zh-CN"/>
        </w:rPr>
        <w:t>7.8</w:t>
      </w:r>
      <w:r>
        <w:rPr>
          <w:spacing w:val="11"/>
          <w:w w:val="99"/>
        </w:rPr>
        <w:drawing>
          <wp:inline distT="0" distB="0" distL="0" distR="0">
            <wp:extent cx="85090" cy="154940"/>
            <wp:effectExtent l="0" t="0" r="10160" b="16510"/>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a:picLocks noChangeAspect="1"/>
                    </pic:cNvPicPr>
                  </pic:nvPicPr>
                  <pic:blipFill>
                    <a:blip r:embed="rId6" cstate="print"/>
                    <a:stretch>
                      <a:fillRect/>
                    </a:stretch>
                  </pic:blipFill>
                  <pic:spPr>
                    <a:xfrm>
                      <a:off x="0" y="0"/>
                      <a:ext cx="85724" cy="155574"/>
                    </a:xfrm>
                    <a:prstGeom prst="rect">
                      <a:avLst/>
                    </a:prstGeom>
                  </pic:spPr>
                </pic:pic>
              </a:graphicData>
            </a:graphic>
          </wp:inline>
        </w:drawing>
      </w:r>
      <w:r>
        <w:rPr>
          <w:spacing w:val="5"/>
          <w:position w:val="1"/>
        </w:rPr>
        <w:t>，</w:t>
      </w:r>
      <w:r>
        <w:rPr>
          <w:position w:val="1"/>
        </w:rPr>
        <w:t>主要原因是社会治安保险项目、</w:t>
      </w:r>
      <w:r>
        <w:rPr>
          <w:spacing w:val="-3"/>
        </w:rPr>
        <w:t>司法救助项目、十九大安保维稳的拨款收入。</w:t>
      </w:r>
    </w:p>
    <w:p>
      <w:pPr>
        <w:pStyle w:val="5"/>
        <w:spacing w:before="6"/>
        <w:ind w:left="960"/>
      </w:pPr>
      <w:r>
        <w:t>201</w:t>
      </w:r>
      <w:r>
        <w:rPr>
          <w:rFonts w:hint="eastAsia"/>
          <w:lang w:val="en-US" w:eastAsia="zh-CN"/>
        </w:rPr>
        <w:t>8</w:t>
      </w:r>
      <w:r>
        <w:t xml:space="preserve"> 年度财政拨款支出为</w:t>
      </w:r>
      <w:r>
        <w:rPr>
          <w:rFonts w:hint="eastAsia"/>
          <w:lang w:val="en-US" w:eastAsia="zh-CN"/>
        </w:rPr>
        <w:t>623.43</w:t>
      </w:r>
      <w:r>
        <w:t>万元，与 201</w:t>
      </w:r>
      <w:r>
        <w:rPr>
          <w:rFonts w:hint="eastAsia"/>
          <w:lang w:val="en-US" w:eastAsia="zh-CN"/>
        </w:rPr>
        <w:t>7</w:t>
      </w:r>
      <w:r>
        <w:t xml:space="preserve"> 年度相</w:t>
      </w:r>
    </w:p>
    <w:p>
      <w:pPr>
        <w:pStyle w:val="5"/>
        <w:spacing w:before="175" w:line="348" w:lineRule="auto"/>
        <w:ind w:left="320" w:right="439"/>
      </w:pPr>
      <w:r>
        <w:rPr>
          <w:spacing w:val="5"/>
          <w:position w:val="1"/>
        </w:rPr>
        <w:t>比</w:t>
      </w:r>
      <w:r>
        <w:rPr>
          <w:position w:val="1"/>
        </w:rPr>
        <w:t>增加</w:t>
      </w:r>
      <w:r>
        <w:rPr>
          <w:rFonts w:hint="eastAsia"/>
          <w:position w:val="1"/>
          <w:lang w:val="en-US" w:eastAsia="zh-CN"/>
        </w:rPr>
        <w:t>49.05</w:t>
      </w:r>
      <w:r>
        <w:rPr>
          <w:spacing w:val="5"/>
          <w:position w:val="1"/>
        </w:rPr>
        <w:t>万</w:t>
      </w:r>
      <w:r>
        <w:rPr>
          <w:position w:val="1"/>
        </w:rPr>
        <w:t>元</w:t>
      </w:r>
      <w:r>
        <w:rPr>
          <w:spacing w:val="5"/>
          <w:position w:val="1"/>
        </w:rPr>
        <w:t>，</w:t>
      </w:r>
      <w:r>
        <w:rPr>
          <w:position w:val="1"/>
        </w:rPr>
        <w:t>增长</w:t>
      </w:r>
      <w:r>
        <w:rPr>
          <w:spacing w:val="-78"/>
          <w:position w:val="1"/>
        </w:rPr>
        <w:t xml:space="preserve"> </w:t>
      </w:r>
      <w:r>
        <w:rPr>
          <w:spacing w:val="-82"/>
          <w:position w:val="1"/>
        </w:rPr>
        <w:t xml:space="preserve"> </w:t>
      </w:r>
      <w:r>
        <w:rPr>
          <w:rFonts w:hint="eastAsia"/>
          <w:spacing w:val="6"/>
          <w:position w:val="1"/>
          <w:lang w:val="en-US" w:eastAsia="zh-CN"/>
        </w:rPr>
        <w:t>7.8</w:t>
      </w:r>
      <w:r>
        <w:rPr>
          <w:spacing w:val="11"/>
          <w:w w:val="99"/>
        </w:rPr>
        <w:drawing>
          <wp:inline distT="0" distB="0" distL="0" distR="0">
            <wp:extent cx="85090" cy="154940"/>
            <wp:effectExtent l="0" t="0" r="0" b="0"/>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1.png"/>
                    <pic:cNvPicPr>
                      <a:picLocks noChangeAspect="1"/>
                    </pic:cNvPicPr>
                  </pic:nvPicPr>
                  <pic:blipFill>
                    <a:blip r:embed="rId6" cstate="print"/>
                    <a:stretch>
                      <a:fillRect/>
                    </a:stretch>
                  </pic:blipFill>
                  <pic:spPr>
                    <a:xfrm>
                      <a:off x="0" y="0"/>
                      <a:ext cx="85724" cy="155574"/>
                    </a:xfrm>
                    <a:prstGeom prst="rect">
                      <a:avLst/>
                    </a:prstGeom>
                  </pic:spPr>
                </pic:pic>
              </a:graphicData>
            </a:graphic>
          </wp:inline>
        </w:drawing>
      </w:r>
      <w:r>
        <w:rPr>
          <w:spacing w:val="5"/>
          <w:position w:val="1"/>
        </w:rPr>
        <w:t>，</w:t>
      </w:r>
      <w:r>
        <w:rPr>
          <w:position w:val="1"/>
        </w:rPr>
        <w:t>主要原因是社会治安保险项目、</w:t>
      </w:r>
      <w:r>
        <w:rPr>
          <w:spacing w:val="-3"/>
        </w:rPr>
        <w:t>司法救助项目、十九大安保维稳的拨款</w:t>
      </w:r>
      <w:r>
        <w:rPr>
          <w:rFonts w:hint="eastAsia"/>
          <w:spacing w:val="-3"/>
          <w:lang w:val="en-US" w:eastAsia="zh-CN"/>
        </w:rPr>
        <w:t>支出</w:t>
      </w:r>
      <w:r>
        <w:rPr>
          <w:spacing w:val="-3"/>
        </w:rPr>
        <w:t>。</w:t>
      </w:r>
    </w:p>
    <w:p>
      <w:pPr>
        <w:pStyle w:val="5"/>
        <w:spacing w:before="176" w:line="348" w:lineRule="auto"/>
        <w:ind w:left="320" w:right="600"/>
        <w:jc w:val="both"/>
      </w:pPr>
    </w:p>
    <w:p>
      <w:pPr>
        <w:pStyle w:val="5"/>
        <w:spacing w:line="403" w:lineRule="exact"/>
        <w:ind w:left="960"/>
        <w:rPr>
          <w:rFonts w:hint="eastAsia" w:ascii="黑体" w:eastAsia="黑体"/>
        </w:rPr>
      </w:pPr>
      <w:r>
        <w:rPr>
          <w:rFonts w:hint="eastAsia" w:ascii="黑体" w:eastAsia="黑体"/>
        </w:rPr>
        <w:t>五、一般公共预算财政拨款支出决算情况说明</w:t>
      </w:r>
    </w:p>
    <w:p>
      <w:pPr>
        <w:pStyle w:val="5"/>
        <w:spacing w:before="178"/>
        <w:ind w:left="960"/>
      </w:pPr>
      <w:r>
        <w:t>（一）总体情况。</w:t>
      </w:r>
    </w:p>
    <w:p>
      <w:pPr>
        <w:pStyle w:val="5"/>
        <w:spacing w:before="180"/>
        <w:ind w:left="960"/>
      </w:pPr>
      <w:r>
        <w:t>201</w:t>
      </w:r>
      <w:r>
        <w:rPr>
          <w:rFonts w:hint="eastAsia"/>
          <w:lang w:val="en-US" w:eastAsia="zh-CN"/>
        </w:rPr>
        <w:t>8</w:t>
      </w:r>
      <w:r>
        <w:rPr>
          <w:spacing w:val="-11"/>
        </w:rPr>
        <w:t xml:space="preserve">年度一般公共预算财政拨款支出 </w:t>
      </w:r>
      <w:r>
        <w:rPr>
          <w:spacing w:val="-17"/>
        </w:rPr>
        <w:t xml:space="preserve"> </w:t>
      </w:r>
      <w:r>
        <w:rPr>
          <w:rFonts w:hint="eastAsia"/>
          <w:lang w:val="en-US" w:eastAsia="zh-CN"/>
        </w:rPr>
        <w:t>623.43</w:t>
      </w:r>
      <w:r>
        <w:rPr>
          <w:spacing w:val="-16"/>
        </w:rPr>
        <w:t xml:space="preserve"> 万元，占</w:t>
      </w:r>
    </w:p>
    <w:p>
      <w:pPr>
        <w:pStyle w:val="5"/>
        <w:spacing w:before="186"/>
        <w:ind w:left="320"/>
        <w:jc w:val="both"/>
      </w:pPr>
      <w:r>
        <w:rPr>
          <w:spacing w:val="5"/>
        </w:rPr>
        <w:t>支</w:t>
      </w:r>
      <w:r>
        <w:t>出</w:t>
      </w:r>
      <w:r>
        <w:rPr>
          <w:spacing w:val="5"/>
        </w:rPr>
        <w:t>合</w:t>
      </w:r>
      <w:r>
        <w:t>计的</w:t>
      </w:r>
      <w:r>
        <w:rPr>
          <w:spacing w:val="-78"/>
        </w:rPr>
        <w:t xml:space="preserve"> </w:t>
      </w:r>
      <w:r>
        <w:rPr>
          <w:spacing w:val="3"/>
        </w:rPr>
        <w:t>100</w:t>
      </w:r>
      <w:r>
        <w:rPr>
          <w:spacing w:val="8"/>
          <w:w w:val="99"/>
        </w:rPr>
        <w:drawing>
          <wp:inline distT="0" distB="0" distL="0" distR="0">
            <wp:extent cx="85090" cy="154940"/>
            <wp:effectExtent l="0" t="0" r="0" b="0"/>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1.png"/>
                    <pic:cNvPicPr>
                      <a:picLocks noChangeAspect="1"/>
                    </pic:cNvPicPr>
                  </pic:nvPicPr>
                  <pic:blipFill>
                    <a:blip r:embed="rId6" cstate="print"/>
                    <a:stretch>
                      <a:fillRect/>
                    </a:stretch>
                  </pic:blipFill>
                  <pic:spPr>
                    <a:xfrm>
                      <a:off x="0" y="0"/>
                      <a:ext cx="85724" cy="155574"/>
                    </a:xfrm>
                    <a:prstGeom prst="rect">
                      <a:avLst/>
                    </a:prstGeom>
                  </pic:spPr>
                </pic:pic>
              </a:graphicData>
            </a:graphic>
          </wp:inline>
        </w:drawing>
      </w:r>
      <w:r>
        <w:rPr>
          <w:spacing w:val="5"/>
        </w:rPr>
        <w:t>。</w:t>
      </w:r>
      <w:r>
        <w:t>与</w:t>
      </w:r>
      <w:r>
        <w:rPr>
          <w:spacing w:val="-80"/>
        </w:rPr>
        <w:t xml:space="preserve"> </w:t>
      </w:r>
      <w:r>
        <w:t>201</w:t>
      </w:r>
      <w:r>
        <w:rPr>
          <w:rFonts w:hint="eastAsia"/>
          <w:lang w:val="en-US" w:eastAsia="zh-CN"/>
        </w:rPr>
        <w:t>7</w:t>
      </w:r>
      <w:r>
        <w:rPr>
          <w:spacing w:val="-82"/>
        </w:rPr>
        <w:t xml:space="preserve"> </w:t>
      </w:r>
      <w:r>
        <w:rPr>
          <w:spacing w:val="5"/>
        </w:rPr>
        <w:t>年</w:t>
      </w:r>
      <w:r>
        <w:t>度</w:t>
      </w:r>
      <w:r>
        <w:rPr>
          <w:spacing w:val="5"/>
        </w:rPr>
        <w:t>相</w:t>
      </w:r>
      <w:r>
        <w:t>比</w:t>
      </w:r>
      <w:r>
        <w:rPr>
          <w:spacing w:val="5"/>
        </w:rPr>
        <w:t>，</w:t>
      </w:r>
      <w:r>
        <w:t>一</w:t>
      </w:r>
      <w:r>
        <w:rPr>
          <w:spacing w:val="5"/>
        </w:rPr>
        <w:t>般公</w:t>
      </w:r>
      <w:r>
        <w:t>共</w:t>
      </w:r>
      <w:r>
        <w:rPr>
          <w:spacing w:val="5"/>
        </w:rPr>
        <w:t>预</w:t>
      </w:r>
      <w:r>
        <w:t>算</w:t>
      </w:r>
      <w:r>
        <w:rPr>
          <w:spacing w:val="5"/>
        </w:rPr>
        <w:t>财政</w:t>
      </w:r>
      <w:r>
        <w:t>拨</w:t>
      </w:r>
    </w:p>
    <w:p>
      <w:pPr>
        <w:pStyle w:val="5"/>
        <w:spacing w:before="175" w:line="348" w:lineRule="auto"/>
        <w:ind w:left="320" w:right="439"/>
      </w:pPr>
      <w:r>
        <w:rPr>
          <w:spacing w:val="5"/>
        </w:rPr>
        <w:t>款</w:t>
      </w:r>
      <w:r>
        <w:t>支</w:t>
      </w:r>
      <w:r>
        <w:rPr>
          <w:spacing w:val="5"/>
        </w:rPr>
        <w:t>出</w:t>
      </w:r>
      <w:r>
        <w:t>增加</w:t>
      </w:r>
      <w:r>
        <w:rPr>
          <w:spacing w:val="-78"/>
        </w:rPr>
        <w:t xml:space="preserve"> </w:t>
      </w:r>
      <w:r>
        <w:rPr>
          <w:rFonts w:hint="eastAsia"/>
          <w:spacing w:val="-78"/>
          <w:position w:val="1"/>
          <w:lang w:val="en-US" w:eastAsia="zh-CN"/>
        </w:rPr>
        <w:t>49.05</w:t>
      </w:r>
      <w:r>
        <w:rPr>
          <w:spacing w:val="5"/>
        </w:rPr>
        <w:t>万</w:t>
      </w:r>
      <w:r>
        <w:t>元</w:t>
      </w:r>
      <w:r>
        <w:rPr>
          <w:spacing w:val="5"/>
        </w:rPr>
        <w:t>，</w:t>
      </w:r>
      <w:r>
        <w:t>增长</w:t>
      </w:r>
      <w:r>
        <w:rPr>
          <w:spacing w:val="-78"/>
        </w:rPr>
        <w:t xml:space="preserve"> </w:t>
      </w:r>
      <w:r>
        <w:rPr>
          <w:spacing w:val="-82"/>
          <w:position w:val="1"/>
        </w:rPr>
        <w:t xml:space="preserve"> </w:t>
      </w:r>
      <w:r>
        <w:rPr>
          <w:rFonts w:hint="eastAsia"/>
          <w:spacing w:val="6"/>
          <w:position w:val="1"/>
          <w:lang w:val="en-US" w:eastAsia="zh-CN"/>
        </w:rPr>
        <w:t>7.8</w:t>
      </w:r>
      <w:r>
        <w:rPr>
          <w:spacing w:val="11"/>
          <w:w w:val="99"/>
        </w:rPr>
        <w:drawing>
          <wp:inline distT="0" distB="0" distL="0" distR="0">
            <wp:extent cx="85090" cy="154940"/>
            <wp:effectExtent l="0" t="0" r="0" b="0"/>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1.png"/>
                    <pic:cNvPicPr>
                      <a:picLocks noChangeAspect="1"/>
                    </pic:cNvPicPr>
                  </pic:nvPicPr>
                  <pic:blipFill>
                    <a:blip r:embed="rId6" cstate="print"/>
                    <a:stretch>
                      <a:fillRect/>
                    </a:stretch>
                  </pic:blipFill>
                  <pic:spPr>
                    <a:xfrm>
                      <a:off x="0" y="0"/>
                      <a:ext cx="85724" cy="155574"/>
                    </a:xfrm>
                    <a:prstGeom prst="rect">
                      <a:avLst/>
                    </a:prstGeom>
                  </pic:spPr>
                </pic:pic>
              </a:graphicData>
            </a:graphic>
          </wp:inline>
        </w:drawing>
      </w:r>
      <w:r>
        <w:rPr>
          <w:spacing w:val="5"/>
        </w:rPr>
        <w:t>。</w:t>
      </w:r>
      <w:r>
        <w:rPr>
          <w:position w:val="1"/>
        </w:rPr>
        <w:t>主要原因是社会治安保险项目、</w:t>
      </w:r>
      <w:r>
        <w:rPr>
          <w:spacing w:val="-3"/>
        </w:rPr>
        <w:t>司法救助项目、十九大安保维稳的拨款</w:t>
      </w:r>
      <w:r>
        <w:rPr>
          <w:rFonts w:hint="eastAsia"/>
          <w:spacing w:val="-3"/>
          <w:lang w:val="en-US" w:eastAsia="zh-CN"/>
        </w:rPr>
        <w:t>支出</w:t>
      </w:r>
      <w:r>
        <w:rPr>
          <w:spacing w:val="-3"/>
        </w:rPr>
        <w:t>。</w:t>
      </w:r>
    </w:p>
    <w:p>
      <w:pPr>
        <w:pStyle w:val="5"/>
        <w:spacing w:before="5"/>
        <w:ind w:left="960"/>
      </w:pPr>
      <w:r>
        <w:t>（二）结构情况。</w:t>
      </w:r>
    </w:p>
    <w:p>
      <w:pPr>
        <w:pStyle w:val="5"/>
        <w:keepNext w:val="0"/>
        <w:keepLines w:val="0"/>
        <w:pageBreakBefore w:val="0"/>
        <w:widowControl w:val="0"/>
        <w:kinsoku/>
        <w:wordWrap/>
        <w:overflowPunct/>
        <w:topLinePunct w:val="0"/>
        <w:autoSpaceDE w:val="0"/>
        <w:autoSpaceDN w:val="0"/>
        <w:bidi w:val="0"/>
        <w:adjustRightInd/>
        <w:snapToGrid/>
        <w:spacing w:before="180" w:line="360" w:lineRule="auto"/>
        <w:ind w:left="960"/>
        <w:textAlignment w:val="auto"/>
        <w:outlineLvl w:val="9"/>
      </w:pPr>
      <w:r>
        <w:t>201</w:t>
      </w:r>
      <w:r>
        <w:rPr>
          <w:rFonts w:hint="eastAsia"/>
          <w:lang w:val="en-US" w:eastAsia="zh-CN"/>
        </w:rPr>
        <w:t>8</w:t>
      </w:r>
      <w:r>
        <w:rPr>
          <w:spacing w:val="-11"/>
        </w:rPr>
        <w:t xml:space="preserve"> 年度一般公共预算财政拨款支出 </w:t>
      </w:r>
      <w:r>
        <w:rPr>
          <w:rFonts w:hint="eastAsia"/>
          <w:lang w:val="en-US" w:eastAsia="zh-CN"/>
        </w:rPr>
        <w:t>623.43</w:t>
      </w:r>
      <w:r>
        <w:rPr>
          <w:spacing w:val="-16"/>
        </w:rPr>
        <w:t xml:space="preserve"> 万元，主</w:t>
      </w:r>
    </w:p>
    <w:p>
      <w:pPr>
        <w:pStyle w:val="5"/>
        <w:keepNext w:val="0"/>
        <w:keepLines w:val="0"/>
        <w:pageBreakBefore w:val="0"/>
        <w:widowControl w:val="0"/>
        <w:kinsoku/>
        <w:wordWrap/>
        <w:overflowPunct/>
        <w:topLinePunct w:val="0"/>
        <w:autoSpaceDE w:val="0"/>
        <w:autoSpaceDN w:val="0"/>
        <w:bidi w:val="0"/>
        <w:adjustRightInd/>
        <w:snapToGrid/>
        <w:spacing w:before="181" w:line="360" w:lineRule="auto"/>
        <w:ind w:left="317"/>
        <w:jc w:val="both"/>
        <w:textAlignment w:val="auto"/>
        <w:outlineLvl w:val="9"/>
      </w:pPr>
      <w:r>
        <w:rPr>
          <w:spacing w:val="7"/>
        </w:rPr>
        <w:t>要用于以下方面：一般公共服务（</w:t>
      </w:r>
      <w:r>
        <w:rPr>
          <w:spacing w:val="9"/>
        </w:rPr>
        <w:t>类</w:t>
      </w:r>
      <w:r>
        <w:rPr>
          <w:spacing w:val="7"/>
        </w:rPr>
        <w:t>）</w:t>
      </w:r>
      <w:r>
        <w:rPr>
          <w:spacing w:val="-27"/>
        </w:rPr>
        <w:t xml:space="preserve">支出 </w:t>
      </w:r>
      <w:r>
        <w:rPr>
          <w:rFonts w:hint="eastAsia"/>
          <w:lang w:val="en-US" w:eastAsia="zh-CN"/>
        </w:rPr>
        <w:t>588.57</w:t>
      </w:r>
      <w:r>
        <w:rPr>
          <w:spacing w:val="-19"/>
        </w:rPr>
        <w:t>万元，</w:t>
      </w:r>
      <w:r>
        <w:t>占</w:t>
      </w:r>
      <w:r>
        <w:rPr>
          <w:spacing w:val="-80"/>
        </w:rPr>
        <w:t xml:space="preserve"> </w:t>
      </w:r>
      <w:r>
        <w:rPr>
          <w:rFonts w:hint="eastAsia"/>
          <w:spacing w:val="-80"/>
          <w:lang w:val="en-US" w:eastAsia="zh-CN"/>
        </w:rPr>
        <w:t xml:space="preserve">9 4.. 4 </w:t>
      </w:r>
      <w:r>
        <w:rPr>
          <w:spacing w:val="8"/>
          <w:w w:val="99"/>
        </w:rPr>
        <w:drawing>
          <wp:inline distT="0" distB="0" distL="0" distR="0">
            <wp:extent cx="85090" cy="154940"/>
            <wp:effectExtent l="0" t="0" r="10160" b="16510"/>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1.png"/>
                    <pic:cNvPicPr>
                      <a:picLocks noChangeAspect="1"/>
                    </pic:cNvPicPr>
                  </pic:nvPicPr>
                  <pic:blipFill>
                    <a:blip r:embed="rId6" cstate="print"/>
                    <a:stretch>
                      <a:fillRect/>
                    </a:stretch>
                  </pic:blipFill>
                  <pic:spPr>
                    <a:xfrm>
                      <a:off x="0" y="0"/>
                      <a:ext cx="85724" cy="155574"/>
                    </a:xfrm>
                    <a:prstGeom prst="rect">
                      <a:avLst/>
                    </a:prstGeom>
                  </pic:spPr>
                </pic:pic>
              </a:graphicData>
            </a:graphic>
          </wp:inline>
        </w:drawing>
      </w:r>
      <w:r>
        <w:rPr>
          <w:spacing w:val="-5"/>
        </w:rPr>
        <w:t>；</w:t>
      </w:r>
      <w:r>
        <w:rPr>
          <w:w w:val="95"/>
        </w:rPr>
        <w:t>社会保障和就业</w:t>
      </w:r>
      <w:r>
        <w:rPr>
          <w:position w:val="1"/>
        </w:rPr>
        <w:t>支出</w:t>
      </w:r>
      <w:r>
        <w:rPr>
          <w:rFonts w:hint="eastAsia"/>
          <w:position w:val="1"/>
          <w:lang w:val="en-US" w:eastAsia="zh-CN"/>
        </w:rPr>
        <w:t>28.48</w:t>
      </w:r>
      <w:r>
        <w:rPr>
          <w:position w:val="1"/>
        </w:rPr>
        <w:t>万元</w:t>
      </w:r>
      <w:r>
        <w:rPr>
          <w:spacing w:val="-46"/>
          <w:position w:val="1"/>
        </w:rPr>
        <w:t>，</w:t>
      </w:r>
      <w:r>
        <w:rPr>
          <w:position w:val="1"/>
        </w:rPr>
        <w:t>占</w:t>
      </w:r>
      <w:r>
        <w:rPr>
          <w:rFonts w:hint="eastAsia"/>
          <w:position w:val="1"/>
          <w:lang w:val="en-US" w:eastAsia="zh-CN"/>
        </w:rPr>
        <w:t>4.5%；</w:t>
      </w:r>
      <w:r>
        <w:rPr>
          <w:position w:val="1"/>
        </w:rPr>
        <w:t>医疗卫生与计划生育支出</w:t>
      </w:r>
      <w:r>
        <w:rPr>
          <w:rFonts w:hint="eastAsia"/>
          <w:position w:val="1"/>
          <w:lang w:val="en-US" w:eastAsia="zh-CN"/>
        </w:rPr>
        <w:t>24.49</w:t>
      </w:r>
      <w:r>
        <w:rPr>
          <w:position w:val="1"/>
        </w:rPr>
        <w:t>万元，占</w:t>
      </w:r>
      <w:r>
        <w:rPr>
          <w:rFonts w:hint="eastAsia"/>
          <w:position w:val="1"/>
          <w:lang w:val="en-US" w:eastAsia="zh-CN"/>
        </w:rPr>
        <w:t>3.9</w:t>
      </w:r>
      <w:r>
        <w:rPr>
          <w:spacing w:val="8"/>
          <w:w w:val="99"/>
        </w:rPr>
        <w:drawing>
          <wp:inline distT="0" distB="0" distL="0" distR="0">
            <wp:extent cx="85090" cy="154940"/>
            <wp:effectExtent l="0" t="0" r="0" b="0"/>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1.png"/>
                    <pic:cNvPicPr>
                      <a:picLocks noChangeAspect="1"/>
                    </pic:cNvPicPr>
                  </pic:nvPicPr>
                  <pic:blipFill>
                    <a:blip r:embed="rId6" cstate="print"/>
                    <a:stretch>
                      <a:fillRect/>
                    </a:stretch>
                  </pic:blipFill>
                  <pic:spPr>
                    <a:xfrm>
                      <a:off x="0" y="0"/>
                      <a:ext cx="85724" cy="155574"/>
                    </a:xfrm>
                    <a:prstGeom prst="rect">
                      <a:avLst/>
                    </a:prstGeom>
                  </pic:spPr>
                </pic:pic>
              </a:graphicData>
            </a:graphic>
          </wp:inline>
        </w:drawing>
      </w:r>
      <w:r>
        <w:rPr>
          <w:position w:val="1"/>
        </w:rPr>
        <w:t>。</w:t>
      </w:r>
    </w:p>
    <w:p>
      <w:pPr>
        <w:pStyle w:val="5"/>
        <w:spacing w:before="183"/>
        <w:ind w:left="960"/>
      </w:pPr>
      <w:r>
        <w:t>（三）具体情况。</w:t>
      </w:r>
    </w:p>
    <w:p>
      <w:pPr>
        <w:pStyle w:val="5"/>
        <w:keepNext w:val="0"/>
        <w:keepLines w:val="0"/>
        <w:pageBreakBefore w:val="0"/>
        <w:widowControl w:val="0"/>
        <w:kinsoku/>
        <w:wordWrap/>
        <w:overflowPunct/>
        <w:topLinePunct w:val="0"/>
        <w:autoSpaceDE w:val="0"/>
        <w:autoSpaceDN w:val="0"/>
        <w:bidi w:val="0"/>
        <w:adjustRightInd/>
        <w:snapToGrid/>
        <w:spacing w:before="180" w:line="360" w:lineRule="auto"/>
        <w:ind w:left="960"/>
        <w:textAlignment w:val="auto"/>
        <w:outlineLvl w:val="9"/>
      </w:pPr>
      <w:r>
        <w:t>201</w:t>
      </w:r>
      <w:r>
        <w:rPr>
          <w:rFonts w:hint="eastAsia"/>
          <w:lang w:val="en-US" w:eastAsia="zh-CN"/>
        </w:rPr>
        <w:t>8</w:t>
      </w:r>
      <w:r>
        <w:rPr>
          <w:spacing w:val="33"/>
        </w:rPr>
        <w:t xml:space="preserve"> 年度一般公共预算财政拨款支出年初预算为</w:t>
      </w:r>
    </w:p>
    <w:p>
      <w:pPr>
        <w:pStyle w:val="5"/>
        <w:keepNext w:val="0"/>
        <w:keepLines w:val="0"/>
        <w:pageBreakBefore w:val="0"/>
        <w:widowControl w:val="0"/>
        <w:kinsoku/>
        <w:wordWrap/>
        <w:overflowPunct/>
        <w:topLinePunct w:val="0"/>
        <w:autoSpaceDE w:val="0"/>
        <w:autoSpaceDN w:val="0"/>
        <w:bidi w:val="0"/>
        <w:adjustRightInd/>
        <w:snapToGrid/>
        <w:spacing w:before="181" w:line="360" w:lineRule="auto"/>
        <w:ind w:left="320"/>
        <w:jc w:val="both"/>
        <w:textAlignment w:val="auto"/>
        <w:outlineLvl w:val="9"/>
      </w:pPr>
      <w:r>
        <w:rPr>
          <w:rFonts w:hint="eastAsia"/>
          <w:spacing w:val="-17"/>
          <w:lang w:val="en-US" w:eastAsia="zh-CN"/>
        </w:rPr>
        <w:t>623.43</w:t>
      </w:r>
      <w:r>
        <w:rPr>
          <w:spacing w:val="-1"/>
        </w:rPr>
        <w:t xml:space="preserve">万元，支出决算为 </w:t>
      </w:r>
      <w:r>
        <w:rPr>
          <w:spacing w:val="-17"/>
        </w:rPr>
        <w:t xml:space="preserve"> </w:t>
      </w:r>
      <w:r>
        <w:rPr>
          <w:rFonts w:hint="eastAsia"/>
          <w:lang w:val="en-US" w:eastAsia="zh-CN"/>
        </w:rPr>
        <w:t>623.43</w:t>
      </w:r>
      <w:r>
        <w:rPr>
          <w:spacing w:val="9"/>
        </w:rPr>
        <w:t>万元，完成年初预算的</w:t>
      </w:r>
    </w:p>
    <w:p>
      <w:pPr>
        <w:pStyle w:val="5"/>
        <w:keepNext w:val="0"/>
        <w:keepLines w:val="0"/>
        <w:pageBreakBefore w:val="0"/>
        <w:widowControl w:val="0"/>
        <w:kinsoku/>
        <w:wordWrap/>
        <w:overflowPunct/>
        <w:topLinePunct w:val="0"/>
        <w:autoSpaceDE w:val="0"/>
        <w:autoSpaceDN w:val="0"/>
        <w:bidi w:val="0"/>
        <w:adjustRightInd/>
        <w:snapToGrid/>
        <w:spacing w:line="360" w:lineRule="auto"/>
        <w:ind w:firstLine="310" w:firstLineChars="100"/>
        <w:textAlignment w:val="auto"/>
        <w:outlineLvl w:val="9"/>
      </w:pPr>
      <w:r>
        <w:rPr>
          <w:rFonts w:hint="eastAsia"/>
          <w:spacing w:val="3"/>
          <w:w w:val="95"/>
          <w:lang w:val="en-US" w:eastAsia="zh-CN"/>
        </w:rPr>
        <w:t>100</w:t>
      </w:r>
      <w:r>
        <w:rPr>
          <w:spacing w:val="-129"/>
          <w:w w:val="95"/>
        </w:rPr>
        <w:t xml:space="preserve"> </w:t>
      </w:r>
      <w:r>
        <w:rPr>
          <w:spacing w:val="8"/>
          <w:w w:val="99"/>
        </w:rPr>
        <w:drawing>
          <wp:inline distT="0" distB="0" distL="0" distR="0">
            <wp:extent cx="85090" cy="154940"/>
            <wp:effectExtent l="0" t="0" r="0" b="0"/>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1.png"/>
                    <pic:cNvPicPr>
                      <a:picLocks noChangeAspect="1"/>
                    </pic:cNvPicPr>
                  </pic:nvPicPr>
                  <pic:blipFill>
                    <a:blip r:embed="rId6" cstate="print"/>
                    <a:stretch>
                      <a:fillRect/>
                    </a:stretch>
                  </pic:blipFill>
                  <pic:spPr>
                    <a:xfrm>
                      <a:off x="0" y="0"/>
                      <a:ext cx="85724" cy="155574"/>
                    </a:xfrm>
                    <a:prstGeom prst="rect">
                      <a:avLst/>
                    </a:prstGeom>
                  </pic:spPr>
                </pic:pic>
              </a:graphicData>
            </a:graphic>
          </wp:inline>
        </w:drawing>
      </w:r>
      <w:r>
        <w:rPr>
          <w:spacing w:val="-7"/>
          <w:w w:val="95"/>
        </w:rPr>
        <w:t>。</w:t>
      </w:r>
      <w:r>
        <w:t>其中：</w:t>
      </w:r>
    </w:p>
    <w:p>
      <w:pPr>
        <w:keepNext w:val="0"/>
        <w:keepLines w:val="0"/>
        <w:pageBreakBefore w:val="0"/>
        <w:widowControl w:val="0"/>
        <w:kinsoku/>
        <w:wordWrap/>
        <w:overflowPunct/>
        <w:topLinePunct w:val="0"/>
        <w:autoSpaceDE w:val="0"/>
        <w:autoSpaceDN w:val="0"/>
        <w:bidi w:val="0"/>
        <w:adjustRightInd/>
        <w:snapToGrid/>
        <w:spacing w:before="75" w:line="360" w:lineRule="auto"/>
        <w:ind w:left="317" w:right="437" w:firstLine="641"/>
        <w:jc w:val="left"/>
        <w:textAlignment w:val="auto"/>
        <w:outlineLvl w:val="9"/>
        <w:rPr>
          <w:rFonts w:hint="eastAsia" w:asciiTheme="minorEastAsia" w:hAnsiTheme="minorEastAsia" w:eastAsiaTheme="minorEastAsia" w:cstheme="minorEastAsia"/>
          <w:sz w:val="32"/>
          <w:szCs w:val="32"/>
          <w:lang w:eastAsia="zh-CN"/>
        </w:rPr>
      </w:pPr>
      <w:r>
        <w:rPr>
          <w:rFonts w:hint="eastAsia" w:asciiTheme="minorEastAsia" w:hAnsiTheme="minorEastAsia" w:eastAsiaTheme="minorEastAsia" w:cstheme="minorEastAsia"/>
          <w:b/>
          <w:w w:val="95"/>
          <w:sz w:val="32"/>
          <w:szCs w:val="32"/>
        </w:rPr>
        <w:t>1</w:t>
      </w:r>
      <w:r>
        <w:rPr>
          <w:rFonts w:hint="eastAsia" w:asciiTheme="minorEastAsia" w:hAnsiTheme="minorEastAsia" w:eastAsiaTheme="minorEastAsia" w:cstheme="minorEastAsia"/>
          <w:b/>
          <w:spacing w:val="-4"/>
          <w:w w:val="95"/>
          <w:sz w:val="32"/>
          <w:szCs w:val="32"/>
        </w:rPr>
        <w:t>、一般公共服务支出</w:t>
      </w:r>
      <w:r>
        <w:rPr>
          <w:rFonts w:hint="eastAsia" w:asciiTheme="minorEastAsia" w:hAnsiTheme="minorEastAsia" w:eastAsiaTheme="minorEastAsia" w:cstheme="minorEastAsia"/>
          <w:b/>
          <w:w w:val="95"/>
          <w:sz w:val="32"/>
          <w:szCs w:val="32"/>
        </w:rPr>
        <w:t>（类</w:t>
      </w:r>
      <w:r>
        <w:rPr>
          <w:rFonts w:hint="eastAsia" w:asciiTheme="minorEastAsia" w:hAnsiTheme="minorEastAsia" w:eastAsiaTheme="minorEastAsia" w:cstheme="minorEastAsia"/>
          <w:b/>
          <w:spacing w:val="-10"/>
          <w:w w:val="95"/>
          <w:sz w:val="32"/>
          <w:szCs w:val="32"/>
        </w:rPr>
        <w:t>）</w:t>
      </w:r>
      <w:r>
        <w:rPr>
          <w:rFonts w:hint="eastAsia" w:asciiTheme="minorEastAsia" w:hAnsiTheme="minorEastAsia" w:eastAsiaTheme="minorEastAsia" w:cstheme="minorEastAsia"/>
          <w:b/>
          <w:spacing w:val="-2"/>
          <w:w w:val="95"/>
          <w:sz w:val="32"/>
          <w:szCs w:val="32"/>
        </w:rPr>
        <w:t>党委办公厅（室）及相关机构事务</w:t>
      </w:r>
      <w:r>
        <w:rPr>
          <w:rFonts w:hint="eastAsia" w:asciiTheme="minorEastAsia" w:hAnsiTheme="minorEastAsia" w:eastAsiaTheme="minorEastAsia" w:cstheme="minorEastAsia"/>
          <w:b/>
          <w:w w:val="95"/>
          <w:sz w:val="32"/>
          <w:szCs w:val="32"/>
        </w:rPr>
        <w:t>（款）行政运行</w:t>
      </w:r>
      <w:r>
        <w:rPr>
          <w:rFonts w:hint="eastAsia" w:asciiTheme="minorEastAsia" w:hAnsiTheme="minorEastAsia" w:eastAsiaTheme="minorEastAsia" w:cstheme="minorEastAsia"/>
          <w:b/>
          <w:sz w:val="32"/>
          <w:szCs w:val="32"/>
        </w:rPr>
        <w:t>（项</w:t>
      </w:r>
      <w:r>
        <w:rPr>
          <w:rFonts w:hint="eastAsia" w:asciiTheme="minorEastAsia" w:hAnsiTheme="minorEastAsia" w:eastAsiaTheme="minorEastAsia" w:cstheme="minorEastAsia"/>
          <w:b/>
          <w:spacing w:val="-144"/>
          <w:sz w:val="32"/>
          <w:szCs w:val="32"/>
        </w:rPr>
        <w:t>）。</w:t>
      </w:r>
      <w:r>
        <w:rPr>
          <w:rFonts w:hint="eastAsia" w:asciiTheme="minorEastAsia" w:hAnsiTheme="minorEastAsia" w:eastAsiaTheme="minorEastAsia" w:cstheme="minorEastAsia"/>
          <w:spacing w:val="-14"/>
          <w:sz w:val="32"/>
          <w:szCs w:val="32"/>
        </w:rPr>
        <w:t>年初预算为</w:t>
      </w:r>
      <w:r>
        <w:rPr>
          <w:rFonts w:hint="eastAsia" w:asciiTheme="minorEastAsia" w:hAnsiTheme="minorEastAsia" w:eastAsiaTheme="minorEastAsia" w:cstheme="minorEastAsia"/>
          <w:spacing w:val="-14"/>
          <w:sz w:val="32"/>
          <w:szCs w:val="32"/>
          <w:lang w:val="en-US" w:eastAsia="zh-CN"/>
        </w:rPr>
        <w:t>236.15</w:t>
      </w:r>
      <w:r>
        <w:rPr>
          <w:rFonts w:hint="eastAsia" w:asciiTheme="minorEastAsia" w:hAnsiTheme="minorEastAsia" w:eastAsiaTheme="minorEastAsia" w:cstheme="minorEastAsia"/>
          <w:spacing w:val="-34"/>
          <w:sz w:val="32"/>
          <w:szCs w:val="32"/>
        </w:rPr>
        <w:t xml:space="preserve"> 万元，支出决算为</w:t>
      </w:r>
      <w:r>
        <w:rPr>
          <w:rFonts w:hint="eastAsia" w:asciiTheme="minorEastAsia" w:hAnsiTheme="minorEastAsia" w:eastAsiaTheme="minorEastAsia" w:cstheme="minorEastAsia"/>
          <w:spacing w:val="-34"/>
          <w:sz w:val="32"/>
          <w:szCs w:val="32"/>
          <w:lang w:val="en-US" w:eastAsia="zh-CN"/>
        </w:rPr>
        <w:t>236.15</w:t>
      </w:r>
      <w:r>
        <w:rPr>
          <w:rFonts w:hint="eastAsia" w:asciiTheme="minorEastAsia" w:hAnsiTheme="minorEastAsia" w:eastAsiaTheme="minorEastAsia" w:cstheme="minorEastAsia"/>
          <w:position w:val="1"/>
          <w:sz w:val="32"/>
          <w:szCs w:val="32"/>
        </w:rPr>
        <w:t>万元</w:t>
      </w:r>
      <w:r>
        <w:rPr>
          <w:rFonts w:hint="eastAsia" w:asciiTheme="minorEastAsia" w:hAnsiTheme="minorEastAsia" w:eastAsiaTheme="minorEastAsia" w:cstheme="minorEastAsia"/>
          <w:spacing w:val="-48"/>
          <w:position w:val="1"/>
          <w:sz w:val="32"/>
          <w:szCs w:val="32"/>
        </w:rPr>
        <w:t>，</w:t>
      </w:r>
      <w:r>
        <w:rPr>
          <w:rFonts w:hint="eastAsia" w:asciiTheme="minorEastAsia" w:hAnsiTheme="minorEastAsia" w:eastAsiaTheme="minorEastAsia" w:cstheme="minorEastAsia"/>
          <w:position w:val="1"/>
          <w:sz w:val="32"/>
          <w:szCs w:val="32"/>
        </w:rPr>
        <w:t>完成年初预算的</w:t>
      </w:r>
      <w:r>
        <w:rPr>
          <w:rFonts w:hint="eastAsia" w:asciiTheme="minorEastAsia" w:hAnsiTheme="minorEastAsia" w:eastAsiaTheme="minorEastAsia" w:cstheme="minorEastAsia"/>
          <w:spacing w:val="-84"/>
          <w:position w:val="1"/>
          <w:sz w:val="32"/>
          <w:szCs w:val="32"/>
        </w:rPr>
        <w:t xml:space="preserve"> </w:t>
      </w:r>
      <w:r>
        <w:rPr>
          <w:rFonts w:hint="eastAsia" w:asciiTheme="minorEastAsia" w:hAnsiTheme="minorEastAsia" w:eastAsiaTheme="minorEastAsia" w:cstheme="minorEastAsia"/>
          <w:spacing w:val="3"/>
          <w:position w:val="1"/>
          <w:sz w:val="32"/>
          <w:szCs w:val="32"/>
          <w:lang w:val="en-US" w:eastAsia="zh-CN"/>
        </w:rPr>
        <w:t>100</w:t>
      </w:r>
      <w:r>
        <w:rPr>
          <w:rFonts w:hint="eastAsia" w:asciiTheme="minorEastAsia" w:hAnsiTheme="minorEastAsia" w:eastAsiaTheme="minorEastAsia" w:cstheme="minorEastAsia"/>
          <w:spacing w:val="8"/>
          <w:w w:val="99"/>
          <w:sz w:val="32"/>
          <w:szCs w:val="32"/>
        </w:rPr>
        <w:drawing>
          <wp:inline distT="0" distB="0" distL="0" distR="0">
            <wp:extent cx="85090" cy="154940"/>
            <wp:effectExtent l="0" t="0" r="0" b="0"/>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image1.png"/>
                    <pic:cNvPicPr>
                      <a:picLocks noChangeAspect="1"/>
                    </pic:cNvPicPr>
                  </pic:nvPicPr>
                  <pic:blipFill>
                    <a:blip r:embed="rId6" cstate="print"/>
                    <a:stretch>
                      <a:fillRect/>
                    </a:stretch>
                  </pic:blipFill>
                  <pic:spPr>
                    <a:xfrm>
                      <a:off x="0" y="0"/>
                      <a:ext cx="85724" cy="155574"/>
                    </a:xfrm>
                    <a:prstGeom prst="rect">
                      <a:avLst/>
                    </a:prstGeom>
                  </pic:spPr>
                </pic:pic>
              </a:graphicData>
            </a:graphic>
          </wp:inline>
        </w:drawing>
      </w:r>
      <w:r>
        <w:rPr>
          <w:rFonts w:hint="eastAsia" w:asciiTheme="minorEastAsia" w:hAnsiTheme="minorEastAsia" w:eastAsiaTheme="minorEastAsia" w:cstheme="minorEastAsia"/>
          <w:spacing w:val="8"/>
          <w:w w:val="99"/>
          <w:sz w:val="32"/>
          <w:szCs w:val="32"/>
          <w:lang w:eastAsia="zh-CN"/>
        </w:rPr>
        <w:t>。</w:t>
      </w:r>
    </w:p>
    <w:p>
      <w:pPr>
        <w:keepNext w:val="0"/>
        <w:keepLines w:val="0"/>
        <w:pageBreakBefore w:val="0"/>
        <w:widowControl w:val="0"/>
        <w:kinsoku/>
        <w:wordWrap/>
        <w:overflowPunct/>
        <w:topLinePunct w:val="0"/>
        <w:autoSpaceDE w:val="0"/>
        <w:autoSpaceDN w:val="0"/>
        <w:bidi w:val="0"/>
        <w:adjustRightInd/>
        <w:snapToGrid/>
        <w:spacing w:before="2" w:line="360" w:lineRule="auto"/>
        <w:ind w:left="317" w:right="0" w:firstLine="643" w:firstLineChars="200"/>
        <w:jc w:val="left"/>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bCs/>
          <w:sz w:val="32"/>
          <w:szCs w:val="32"/>
        </w:rPr>
        <w:t>2、</w:t>
      </w:r>
      <w:r>
        <w:rPr>
          <w:rFonts w:hint="eastAsia" w:asciiTheme="minorEastAsia" w:hAnsiTheme="minorEastAsia" w:eastAsiaTheme="minorEastAsia" w:cstheme="minorEastAsia"/>
          <w:b/>
          <w:spacing w:val="-4"/>
          <w:w w:val="95"/>
          <w:sz w:val="32"/>
          <w:szCs w:val="32"/>
        </w:rPr>
        <w:t>一般公共服务支出</w:t>
      </w:r>
      <w:r>
        <w:rPr>
          <w:rFonts w:hint="eastAsia" w:asciiTheme="minorEastAsia" w:hAnsiTheme="minorEastAsia" w:eastAsiaTheme="minorEastAsia" w:cstheme="minorEastAsia"/>
          <w:b/>
          <w:w w:val="95"/>
          <w:sz w:val="32"/>
          <w:szCs w:val="32"/>
        </w:rPr>
        <w:t>（类</w:t>
      </w:r>
      <w:r>
        <w:rPr>
          <w:rFonts w:hint="eastAsia" w:asciiTheme="minorEastAsia" w:hAnsiTheme="minorEastAsia" w:eastAsiaTheme="minorEastAsia" w:cstheme="minorEastAsia"/>
          <w:b/>
          <w:spacing w:val="-10"/>
          <w:w w:val="95"/>
          <w:sz w:val="32"/>
          <w:szCs w:val="32"/>
        </w:rPr>
        <w:t>）</w:t>
      </w:r>
      <w:r>
        <w:rPr>
          <w:rFonts w:hint="eastAsia" w:asciiTheme="minorEastAsia" w:hAnsiTheme="minorEastAsia" w:eastAsiaTheme="minorEastAsia" w:cstheme="minorEastAsia"/>
          <w:b/>
          <w:spacing w:val="-2"/>
          <w:w w:val="95"/>
          <w:sz w:val="32"/>
          <w:szCs w:val="32"/>
        </w:rPr>
        <w:t>党委办公厅（室）及相关机构事务</w:t>
      </w:r>
      <w:r>
        <w:rPr>
          <w:rFonts w:hint="eastAsia" w:asciiTheme="minorEastAsia" w:hAnsiTheme="minorEastAsia" w:eastAsiaTheme="minorEastAsia" w:cstheme="minorEastAsia"/>
          <w:b/>
          <w:w w:val="95"/>
          <w:sz w:val="32"/>
          <w:szCs w:val="32"/>
        </w:rPr>
        <w:t>（款）一般行政管理事务</w:t>
      </w:r>
      <w:r>
        <w:rPr>
          <w:rFonts w:hint="eastAsia" w:asciiTheme="minorEastAsia" w:hAnsiTheme="minorEastAsia" w:eastAsiaTheme="minorEastAsia" w:cstheme="minorEastAsia"/>
          <w:b/>
          <w:sz w:val="32"/>
          <w:szCs w:val="32"/>
        </w:rPr>
        <w:t>（项</w:t>
      </w:r>
      <w:r>
        <w:rPr>
          <w:rFonts w:hint="eastAsia" w:asciiTheme="minorEastAsia" w:hAnsiTheme="minorEastAsia" w:eastAsiaTheme="minorEastAsia" w:cstheme="minorEastAsia"/>
          <w:b/>
          <w:spacing w:val="-144"/>
          <w:sz w:val="32"/>
          <w:szCs w:val="32"/>
        </w:rPr>
        <w:t>）。</w:t>
      </w:r>
      <w:r>
        <w:rPr>
          <w:rFonts w:hint="eastAsia" w:asciiTheme="minorEastAsia" w:hAnsiTheme="minorEastAsia" w:eastAsiaTheme="minorEastAsia" w:cstheme="minorEastAsia"/>
          <w:spacing w:val="-14"/>
          <w:sz w:val="32"/>
          <w:szCs w:val="32"/>
        </w:rPr>
        <w:t>年初预算为</w:t>
      </w:r>
      <w:r>
        <w:rPr>
          <w:rFonts w:hint="eastAsia" w:asciiTheme="minorEastAsia" w:hAnsiTheme="minorEastAsia" w:eastAsiaTheme="minorEastAsia" w:cstheme="minorEastAsia"/>
          <w:spacing w:val="-14"/>
          <w:sz w:val="32"/>
          <w:szCs w:val="32"/>
          <w:lang w:val="en-US" w:eastAsia="zh-CN"/>
        </w:rPr>
        <w:t>352.42</w:t>
      </w:r>
      <w:r>
        <w:rPr>
          <w:rFonts w:hint="eastAsia" w:asciiTheme="minorEastAsia" w:hAnsiTheme="minorEastAsia" w:eastAsiaTheme="minorEastAsia" w:cstheme="minorEastAsia"/>
          <w:spacing w:val="-34"/>
          <w:sz w:val="32"/>
          <w:szCs w:val="32"/>
        </w:rPr>
        <w:t>万元，支出决算为</w:t>
      </w:r>
      <w:r>
        <w:rPr>
          <w:rFonts w:hint="eastAsia" w:asciiTheme="minorEastAsia" w:hAnsiTheme="minorEastAsia" w:eastAsiaTheme="minorEastAsia" w:cstheme="minorEastAsia"/>
          <w:spacing w:val="-34"/>
          <w:sz w:val="32"/>
          <w:szCs w:val="32"/>
          <w:lang w:val="en-US" w:eastAsia="zh-CN"/>
        </w:rPr>
        <w:t>352.42</w:t>
      </w:r>
      <w:r>
        <w:rPr>
          <w:rFonts w:hint="eastAsia" w:asciiTheme="minorEastAsia" w:hAnsiTheme="minorEastAsia" w:eastAsiaTheme="minorEastAsia" w:cstheme="minorEastAsia"/>
          <w:spacing w:val="5"/>
          <w:sz w:val="32"/>
          <w:szCs w:val="32"/>
        </w:rPr>
        <w:t>万</w:t>
      </w:r>
      <w:r>
        <w:rPr>
          <w:rFonts w:hint="eastAsia" w:asciiTheme="minorEastAsia" w:hAnsiTheme="minorEastAsia" w:eastAsiaTheme="minorEastAsia" w:cstheme="minorEastAsia"/>
          <w:sz w:val="32"/>
          <w:szCs w:val="32"/>
        </w:rPr>
        <w:t>元</w:t>
      </w:r>
      <w:r>
        <w:rPr>
          <w:rFonts w:hint="eastAsia" w:asciiTheme="minorEastAsia" w:hAnsiTheme="minorEastAsia" w:eastAsiaTheme="minorEastAsia" w:cstheme="minorEastAsia"/>
          <w:spacing w:val="5"/>
          <w:sz w:val="32"/>
          <w:szCs w:val="32"/>
        </w:rPr>
        <w:t>，</w:t>
      </w:r>
      <w:r>
        <w:rPr>
          <w:rFonts w:hint="eastAsia" w:asciiTheme="minorEastAsia" w:hAnsiTheme="minorEastAsia" w:eastAsiaTheme="minorEastAsia" w:cstheme="minorEastAsia"/>
          <w:sz w:val="32"/>
          <w:szCs w:val="32"/>
        </w:rPr>
        <w:t>完</w:t>
      </w:r>
      <w:r>
        <w:rPr>
          <w:rFonts w:hint="eastAsia" w:asciiTheme="minorEastAsia" w:hAnsiTheme="minorEastAsia" w:eastAsiaTheme="minorEastAsia" w:cstheme="minorEastAsia"/>
          <w:spacing w:val="5"/>
          <w:sz w:val="32"/>
          <w:szCs w:val="32"/>
        </w:rPr>
        <w:t>成</w:t>
      </w:r>
      <w:r>
        <w:rPr>
          <w:rFonts w:hint="eastAsia" w:asciiTheme="minorEastAsia" w:hAnsiTheme="minorEastAsia" w:eastAsiaTheme="minorEastAsia" w:cstheme="minorEastAsia"/>
          <w:sz w:val="32"/>
          <w:szCs w:val="32"/>
        </w:rPr>
        <w:t>年</w:t>
      </w:r>
      <w:r>
        <w:rPr>
          <w:rFonts w:hint="eastAsia" w:asciiTheme="minorEastAsia" w:hAnsiTheme="minorEastAsia" w:eastAsiaTheme="minorEastAsia" w:cstheme="minorEastAsia"/>
          <w:spacing w:val="5"/>
          <w:sz w:val="32"/>
          <w:szCs w:val="32"/>
        </w:rPr>
        <w:t>初预</w:t>
      </w:r>
      <w:r>
        <w:rPr>
          <w:rFonts w:hint="eastAsia" w:asciiTheme="minorEastAsia" w:hAnsiTheme="minorEastAsia" w:eastAsiaTheme="minorEastAsia" w:cstheme="minorEastAsia"/>
          <w:sz w:val="32"/>
          <w:szCs w:val="32"/>
        </w:rPr>
        <w:t>算的</w:t>
      </w:r>
      <w:r>
        <w:rPr>
          <w:rFonts w:hint="eastAsia" w:asciiTheme="minorEastAsia" w:hAnsiTheme="minorEastAsia" w:eastAsiaTheme="minorEastAsia" w:cstheme="minorEastAsia"/>
          <w:spacing w:val="-71"/>
          <w:sz w:val="32"/>
          <w:szCs w:val="32"/>
        </w:rPr>
        <w:t xml:space="preserve"> </w:t>
      </w:r>
      <w:r>
        <w:rPr>
          <w:rFonts w:hint="eastAsia" w:asciiTheme="minorEastAsia" w:hAnsiTheme="minorEastAsia" w:eastAsiaTheme="minorEastAsia" w:cstheme="minorEastAsia"/>
          <w:sz w:val="32"/>
          <w:szCs w:val="32"/>
          <w:lang w:val="en-US" w:eastAsia="zh-CN"/>
        </w:rPr>
        <w:t>100</w:t>
      </w:r>
      <w:r>
        <w:rPr>
          <w:rFonts w:hint="eastAsia" w:asciiTheme="minorEastAsia" w:hAnsiTheme="minorEastAsia" w:eastAsiaTheme="minorEastAsia" w:cstheme="minorEastAsia"/>
          <w:spacing w:val="8"/>
          <w:w w:val="99"/>
          <w:sz w:val="32"/>
          <w:szCs w:val="32"/>
        </w:rPr>
        <w:drawing>
          <wp:inline distT="0" distB="0" distL="0" distR="0">
            <wp:extent cx="85090" cy="154940"/>
            <wp:effectExtent l="0" t="0" r="0" b="0"/>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image1.png"/>
                    <pic:cNvPicPr>
                      <a:picLocks noChangeAspect="1"/>
                    </pic:cNvPicPr>
                  </pic:nvPicPr>
                  <pic:blipFill>
                    <a:blip r:embed="rId6" cstate="print"/>
                    <a:stretch>
                      <a:fillRect/>
                    </a:stretch>
                  </pic:blipFill>
                  <pic:spPr>
                    <a:xfrm>
                      <a:off x="0" y="0"/>
                      <a:ext cx="85724" cy="155574"/>
                    </a:xfrm>
                    <a:prstGeom prst="rect">
                      <a:avLst/>
                    </a:prstGeom>
                  </pic:spPr>
                </pic:pic>
              </a:graphicData>
            </a:graphic>
          </wp:inline>
        </w:drawing>
      </w:r>
      <w:r>
        <w:rPr>
          <w:rFonts w:hint="eastAsia" w:asciiTheme="minorEastAsia" w:hAnsiTheme="minorEastAsia" w:eastAsiaTheme="minorEastAsia" w:cstheme="minorEastAsia"/>
          <w:spacing w:val="5"/>
          <w:sz w:val="32"/>
          <w:szCs w:val="32"/>
        </w:rPr>
        <w:t>。</w:t>
      </w:r>
    </w:p>
    <w:p>
      <w:pPr>
        <w:pStyle w:val="3"/>
        <w:spacing w:before="75"/>
        <w:ind w:left="320" w:right="594" w:firstLine="640"/>
        <w:rPr>
          <w:rFonts w:hint="eastAsia" w:asciiTheme="minorEastAsia" w:hAnsiTheme="minorEastAsia" w:eastAsiaTheme="minorEastAsia" w:cstheme="minorEastAsia"/>
          <w:b w:val="0"/>
          <w:sz w:val="32"/>
          <w:szCs w:val="32"/>
        </w:rPr>
      </w:pPr>
      <w:r>
        <w:rPr>
          <w:rFonts w:hint="eastAsia" w:asciiTheme="minorEastAsia" w:hAnsiTheme="minorEastAsia" w:eastAsiaTheme="minorEastAsia" w:cstheme="minorEastAsia"/>
          <w:spacing w:val="6"/>
          <w:w w:val="95"/>
          <w:sz w:val="32"/>
          <w:szCs w:val="32"/>
          <w:lang w:val="en-US" w:eastAsia="zh-CN"/>
        </w:rPr>
        <w:t>3</w:t>
      </w:r>
      <w:r>
        <w:rPr>
          <w:rFonts w:hint="eastAsia" w:asciiTheme="minorEastAsia" w:hAnsiTheme="minorEastAsia" w:eastAsiaTheme="minorEastAsia" w:cstheme="minorEastAsia"/>
          <w:spacing w:val="7"/>
          <w:w w:val="95"/>
          <w:sz w:val="32"/>
          <w:szCs w:val="32"/>
        </w:rPr>
        <w:t>、社会保障和就业（类）行政事业单位离退休（款</w:t>
      </w:r>
      <w:r>
        <w:rPr>
          <w:rFonts w:hint="eastAsia" w:asciiTheme="minorEastAsia" w:hAnsiTheme="minorEastAsia" w:eastAsiaTheme="minorEastAsia" w:cstheme="minorEastAsia"/>
          <w:w w:val="95"/>
          <w:sz w:val="32"/>
          <w:szCs w:val="32"/>
        </w:rPr>
        <w:t xml:space="preserve">） </w:t>
      </w:r>
      <w:r>
        <w:rPr>
          <w:rFonts w:hint="eastAsia" w:asciiTheme="minorEastAsia" w:hAnsiTheme="minorEastAsia" w:eastAsiaTheme="minorEastAsia" w:cstheme="minorEastAsia"/>
          <w:spacing w:val="12"/>
          <w:w w:val="95"/>
          <w:sz w:val="32"/>
          <w:szCs w:val="32"/>
        </w:rPr>
        <w:t xml:space="preserve">  机关事业单位基本养老保险缴费支出★</w:t>
      </w:r>
      <w:r>
        <w:rPr>
          <w:rFonts w:hint="eastAsia" w:asciiTheme="minorEastAsia" w:hAnsiTheme="minorEastAsia" w:eastAsiaTheme="minorEastAsia" w:cstheme="minorEastAsia"/>
          <w:spacing w:val="14"/>
          <w:w w:val="95"/>
          <w:sz w:val="32"/>
          <w:szCs w:val="32"/>
        </w:rPr>
        <w:t>（项）</w:t>
      </w:r>
      <w:r>
        <w:rPr>
          <w:rFonts w:hint="eastAsia" w:asciiTheme="minorEastAsia" w:hAnsiTheme="minorEastAsia" w:eastAsiaTheme="minorEastAsia" w:cstheme="minorEastAsia"/>
          <w:spacing w:val="12"/>
          <w:w w:val="95"/>
          <w:sz w:val="32"/>
          <w:szCs w:val="32"/>
        </w:rPr>
        <w:t>。</w:t>
      </w:r>
      <w:r>
        <w:rPr>
          <w:rFonts w:hint="eastAsia" w:asciiTheme="minorEastAsia" w:hAnsiTheme="minorEastAsia" w:eastAsiaTheme="minorEastAsia" w:cstheme="minorEastAsia"/>
          <w:b w:val="0"/>
          <w:spacing w:val="9"/>
          <w:w w:val="95"/>
          <w:sz w:val="32"/>
          <w:szCs w:val="32"/>
        </w:rPr>
        <w:t>年初预算为</w:t>
      </w:r>
    </w:p>
    <w:p>
      <w:pPr>
        <w:pStyle w:val="5"/>
        <w:spacing w:before="107"/>
        <w:ind w:left="320"/>
        <w:rPr>
          <w:rFonts w:hint="eastAsia" w:asciiTheme="minorEastAsia" w:hAnsiTheme="minorEastAsia" w:eastAsiaTheme="minorEastAsia" w:cstheme="minorEastAsia"/>
          <w:spacing w:val="8"/>
          <w:sz w:val="32"/>
          <w:szCs w:val="32"/>
          <w:lang w:val="en-US" w:eastAsia="zh-CN"/>
        </w:rPr>
      </w:pPr>
      <w:r>
        <w:rPr>
          <w:rFonts w:hint="eastAsia" w:asciiTheme="minorEastAsia" w:hAnsiTheme="minorEastAsia" w:eastAsiaTheme="minorEastAsia" w:cstheme="minorEastAsia"/>
          <w:sz w:val="32"/>
          <w:szCs w:val="32"/>
          <w:lang w:val="en-US" w:eastAsia="zh-CN"/>
        </w:rPr>
        <w:t>24.49</w:t>
      </w:r>
      <w:r>
        <w:rPr>
          <w:rFonts w:hint="eastAsia" w:asciiTheme="minorEastAsia" w:hAnsiTheme="minorEastAsia" w:eastAsiaTheme="minorEastAsia" w:cstheme="minorEastAsia"/>
          <w:spacing w:val="-2"/>
          <w:sz w:val="32"/>
          <w:szCs w:val="32"/>
        </w:rPr>
        <w:t>万元， 支出决算为</w:t>
      </w:r>
      <w:r>
        <w:rPr>
          <w:rFonts w:hint="eastAsia" w:asciiTheme="minorEastAsia" w:hAnsiTheme="minorEastAsia" w:eastAsiaTheme="minorEastAsia" w:cstheme="minorEastAsia"/>
          <w:spacing w:val="-2"/>
          <w:sz w:val="32"/>
          <w:szCs w:val="32"/>
          <w:lang w:val="en-US" w:eastAsia="zh-CN"/>
        </w:rPr>
        <w:t>24.49</w:t>
      </w:r>
      <w:r>
        <w:rPr>
          <w:rFonts w:hint="eastAsia" w:asciiTheme="minorEastAsia" w:hAnsiTheme="minorEastAsia" w:eastAsiaTheme="minorEastAsia" w:cstheme="minorEastAsia"/>
          <w:spacing w:val="8"/>
          <w:sz w:val="32"/>
          <w:szCs w:val="32"/>
        </w:rPr>
        <w:t>万元， 完成年初预算的</w:t>
      </w:r>
      <w:r>
        <w:rPr>
          <w:rFonts w:hint="eastAsia" w:asciiTheme="minorEastAsia" w:hAnsiTheme="minorEastAsia" w:eastAsiaTheme="minorEastAsia" w:cstheme="minorEastAsia"/>
          <w:spacing w:val="8"/>
          <w:sz w:val="32"/>
          <w:szCs w:val="32"/>
          <w:lang w:val="en-US" w:eastAsia="zh-CN"/>
        </w:rPr>
        <w:t>100%。</w:t>
      </w:r>
    </w:p>
    <w:p>
      <w:pPr>
        <w:pStyle w:val="5"/>
        <w:spacing w:before="107"/>
        <w:ind w:left="320"/>
        <w:rPr>
          <w:rFonts w:hint="eastAsia" w:asciiTheme="minorEastAsia" w:hAnsiTheme="minorEastAsia" w:eastAsiaTheme="minorEastAsia" w:cstheme="minorEastAsia"/>
          <w:spacing w:val="8"/>
          <w:sz w:val="32"/>
          <w:szCs w:val="32"/>
          <w:lang w:val="en-US" w:eastAsia="zh-CN"/>
        </w:rPr>
      </w:pPr>
    </w:p>
    <w:p>
      <w:pPr>
        <w:pStyle w:val="4"/>
        <w:keepNext w:val="0"/>
        <w:keepLines w:val="0"/>
        <w:pageBreakBefore w:val="0"/>
        <w:widowControl w:val="0"/>
        <w:kinsoku/>
        <w:wordWrap/>
        <w:overflowPunct/>
        <w:topLinePunct w:val="0"/>
        <w:autoSpaceDE w:val="0"/>
        <w:autoSpaceDN w:val="0"/>
        <w:bidi w:val="0"/>
        <w:adjustRightInd/>
        <w:snapToGrid/>
        <w:spacing w:before="75" w:line="360" w:lineRule="auto"/>
        <w:ind w:left="317" w:right="595" w:firstLine="641"/>
        <w:textAlignment w:val="auto"/>
        <w:outlineLvl w:val="2"/>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pacing w:val="6"/>
          <w:w w:val="95"/>
          <w:sz w:val="32"/>
          <w:szCs w:val="32"/>
          <w:lang w:val="en-US" w:eastAsia="zh-CN"/>
        </w:rPr>
        <w:t>4</w:t>
      </w:r>
      <w:r>
        <w:rPr>
          <w:rFonts w:hint="eastAsia" w:asciiTheme="minorEastAsia" w:hAnsiTheme="minorEastAsia" w:eastAsiaTheme="minorEastAsia" w:cstheme="minorEastAsia"/>
          <w:spacing w:val="7"/>
          <w:w w:val="95"/>
          <w:sz w:val="32"/>
          <w:szCs w:val="32"/>
        </w:rPr>
        <w:t>、</w:t>
      </w:r>
      <w:r>
        <w:rPr>
          <w:rFonts w:hint="eastAsia" w:asciiTheme="minorEastAsia" w:hAnsiTheme="minorEastAsia" w:eastAsiaTheme="minorEastAsia" w:cstheme="minorEastAsia"/>
          <w:b/>
          <w:bCs/>
          <w:spacing w:val="7"/>
          <w:w w:val="95"/>
          <w:sz w:val="32"/>
          <w:szCs w:val="32"/>
        </w:rPr>
        <w:t>社会保障和就业（类）行政事业单位离退休（款</w:t>
      </w:r>
      <w:r>
        <w:rPr>
          <w:rFonts w:hint="eastAsia" w:asciiTheme="minorEastAsia" w:hAnsiTheme="minorEastAsia" w:eastAsiaTheme="minorEastAsia" w:cstheme="minorEastAsia"/>
          <w:b/>
          <w:bCs/>
          <w:w w:val="95"/>
          <w:sz w:val="32"/>
          <w:szCs w:val="32"/>
        </w:rPr>
        <w:t>）  其他行政事业单位离退休支出</w:t>
      </w:r>
      <w:r>
        <w:rPr>
          <w:rFonts w:hint="eastAsia" w:asciiTheme="minorEastAsia" w:hAnsiTheme="minorEastAsia" w:eastAsiaTheme="minorEastAsia" w:cstheme="minorEastAsia"/>
          <w:b/>
          <w:bCs/>
          <w:spacing w:val="14"/>
          <w:w w:val="95"/>
          <w:sz w:val="32"/>
          <w:szCs w:val="32"/>
        </w:rPr>
        <w:t>（项）</w:t>
      </w:r>
      <w:r>
        <w:rPr>
          <w:rFonts w:hint="eastAsia" w:asciiTheme="minorEastAsia" w:hAnsiTheme="minorEastAsia" w:eastAsiaTheme="minorEastAsia" w:cstheme="minorEastAsia"/>
          <w:b/>
          <w:bCs/>
          <w:spacing w:val="12"/>
          <w:w w:val="95"/>
          <w:sz w:val="32"/>
          <w:szCs w:val="32"/>
        </w:rPr>
        <w:t>。</w:t>
      </w:r>
      <w:r>
        <w:rPr>
          <w:rFonts w:hint="eastAsia" w:asciiTheme="minorEastAsia" w:hAnsiTheme="minorEastAsia" w:eastAsiaTheme="minorEastAsia" w:cstheme="minorEastAsia"/>
          <w:b w:val="0"/>
          <w:bCs/>
          <w:spacing w:val="9"/>
          <w:w w:val="95"/>
          <w:sz w:val="32"/>
          <w:szCs w:val="32"/>
        </w:rPr>
        <w:t>年初预算为</w:t>
      </w:r>
      <w:r>
        <w:rPr>
          <w:rFonts w:hint="eastAsia" w:asciiTheme="minorEastAsia" w:hAnsiTheme="minorEastAsia" w:eastAsiaTheme="minorEastAsia" w:cstheme="minorEastAsia"/>
          <w:b w:val="0"/>
          <w:bCs/>
          <w:sz w:val="32"/>
          <w:szCs w:val="32"/>
          <w:lang w:val="en-US" w:eastAsia="zh-CN"/>
        </w:rPr>
        <w:t>0.99</w:t>
      </w:r>
      <w:r>
        <w:rPr>
          <w:rFonts w:hint="eastAsia" w:asciiTheme="minorEastAsia" w:hAnsiTheme="minorEastAsia" w:eastAsiaTheme="minorEastAsia" w:cstheme="minorEastAsia"/>
          <w:b w:val="0"/>
          <w:bCs/>
          <w:spacing w:val="-2"/>
          <w:sz w:val="32"/>
          <w:szCs w:val="32"/>
        </w:rPr>
        <w:t>万元， 支出决算为</w:t>
      </w:r>
      <w:r>
        <w:rPr>
          <w:rFonts w:hint="eastAsia" w:asciiTheme="minorEastAsia" w:hAnsiTheme="minorEastAsia" w:eastAsiaTheme="minorEastAsia" w:cstheme="minorEastAsia"/>
          <w:b w:val="0"/>
          <w:bCs/>
          <w:spacing w:val="-2"/>
          <w:sz w:val="32"/>
          <w:szCs w:val="32"/>
          <w:lang w:val="en-US" w:eastAsia="zh-CN"/>
        </w:rPr>
        <w:t>0.99</w:t>
      </w:r>
      <w:r>
        <w:rPr>
          <w:rFonts w:hint="eastAsia" w:asciiTheme="minorEastAsia" w:hAnsiTheme="minorEastAsia" w:eastAsiaTheme="minorEastAsia" w:cstheme="minorEastAsia"/>
          <w:b w:val="0"/>
          <w:bCs/>
          <w:spacing w:val="8"/>
          <w:sz w:val="32"/>
          <w:szCs w:val="32"/>
        </w:rPr>
        <w:t>万元， 完成年初预算的</w:t>
      </w:r>
      <w:r>
        <w:rPr>
          <w:rFonts w:hint="eastAsia" w:asciiTheme="minorEastAsia" w:hAnsiTheme="minorEastAsia" w:eastAsiaTheme="minorEastAsia" w:cstheme="minorEastAsia"/>
          <w:b w:val="0"/>
          <w:bCs/>
          <w:spacing w:val="8"/>
          <w:sz w:val="32"/>
          <w:szCs w:val="32"/>
          <w:lang w:val="en-US" w:eastAsia="zh-CN"/>
        </w:rPr>
        <w:t>100%。</w:t>
      </w:r>
    </w:p>
    <w:p>
      <w:pPr>
        <w:pStyle w:val="5"/>
        <w:spacing w:before="103" w:line="348" w:lineRule="auto"/>
        <w:ind w:left="320" w:right="439" w:firstLine="62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val="0"/>
          <w:spacing w:val="3"/>
          <w:w w:val="95"/>
          <w:sz w:val="32"/>
          <w:szCs w:val="32"/>
          <w:lang w:val="en-US" w:eastAsia="zh-CN"/>
        </w:rPr>
        <w:t>5</w:t>
      </w:r>
      <w:r>
        <w:rPr>
          <w:rFonts w:hint="eastAsia" w:asciiTheme="minorEastAsia" w:hAnsiTheme="minorEastAsia" w:eastAsiaTheme="minorEastAsia" w:cstheme="minorEastAsia"/>
          <w:b w:val="0"/>
          <w:spacing w:val="7"/>
          <w:w w:val="95"/>
          <w:sz w:val="32"/>
          <w:szCs w:val="32"/>
        </w:rPr>
        <w:t>、</w:t>
      </w:r>
      <w:r>
        <w:rPr>
          <w:rFonts w:hint="eastAsia" w:asciiTheme="minorEastAsia" w:hAnsiTheme="minorEastAsia" w:eastAsiaTheme="minorEastAsia" w:cstheme="minorEastAsia"/>
          <w:b/>
          <w:bCs/>
          <w:spacing w:val="7"/>
          <w:w w:val="95"/>
          <w:sz w:val="32"/>
          <w:szCs w:val="32"/>
        </w:rPr>
        <w:t>医疗卫生与计划生育支出</w:t>
      </w:r>
      <w:r>
        <w:rPr>
          <w:rFonts w:hint="eastAsia" w:asciiTheme="minorEastAsia" w:hAnsiTheme="minorEastAsia" w:eastAsiaTheme="minorEastAsia" w:cstheme="minorEastAsia"/>
          <w:b/>
          <w:bCs/>
          <w:spacing w:val="7"/>
          <w:w w:val="95"/>
          <w:sz w:val="32"/>
          <w:szCs w:val="32"/>
          <w:lang w:eastAsia="zh-CN"/>
        </w:rPr>
        <w:t>（</w:t>
      </w:r>
      <w:r>
        <w:rPr>
          <w:rFonts w:hint="eastAsia" w:asciiTheme="minorEastAsia" w:hAnsiTheme="minorEastAsia" w:eastAsiaTheme="minorEastAsia" w:cstheme="minorEastAsia"/>
          <w:b/>
          <w:bCs/>
          <w:spacing w:val="7"/>
          <w:w w:val="95"/>
          <w:sz w:val="32"/>
          <w:szCs w:val="32"/>
        </w:rPr>
        <w:t>类）行政事业单位医疗★</w:t>
      </w:r>
      <w:r>
        <w:rPr>
          <w:rFonts w:hint="eastAsia" w:asciiTheme="minorEastAsia" w:hAnsiTheme="minorEastAsia" w:eastAsiaTheme="minorEastAsia" w:cstheme="minorEastAsia"/>
          <w:b/>
          <w:bCs/>
          <w:spacing w:val="7"/>
          <w:w w:val="95"/>
          <w:sz w:val="32"/>
          <w:szCs w:val="32"/>
          <w:lang w:eastAsia="zh-CN"/>
        </w:rPr>
        <w:t>（</w:t>
      </w:r>
      <w:r>
        <w:rPr>
          <w:rFonts w:hint="eastAsia" w:asciiTheme="minorEastAsia" w:hAnsiTheme="minorEastAsia" w:eastAsiaTheme="minorEastAsia" w:cstheme="minorEastAsia"/>
          <w:b/>
          <w:bCs/>
          <w:spacing w:val="7"/>
          <w:w w:val="95"/>
          <w:sz w:val="32"/>
          <w:szCs w:val="32"/>
          <w:lang w:val="en-US" w:eastAsia="zh-CN"/>
        </w:rPr>
        <w:t>款</w:t>
      </w:r>
      <w:r>
        <w:rPr>
          <w:rFonts w:hint="eastAsia" w:asciiTheme="minorEastAsia" w:hAnsiTheme="minorEastAsia" w:eastAsiaTheme="minorEastAsia" w:cstheme="minorEastAsia"/>
          <w:b/>
          <w:bCs/>
          <w:w w:val="95"/>
          <w:sz w:val="32"/>
          <w:szCs w:val="32"/>
        </w:rPr>
        <w:t>）</w:t>
      </w:r>
      <w:r>
        <w:rPr>
          <w:rFonts w:hint="eastAsia" w:asciiTheme="minorEastAsia" w:hAnsiTheme="minorEastAsia" w:eastAsiaTheme="minorEastAsia" w:cstheme="minorEastAsia"/>
          <w:b/>
          <w:bCs/>
          <w:w w:val="95"/>
          <w:sz w:val="32"/>
          <w:szCs w:val="32"/>
          <w:lang w:val="en-US" w:eastAsia="zh-CN"/>
        </w:rPr>
        <w:t>行政</w:t>
      </w:r>
      <w:r>
        <w:rPr>
          <w:rFonts w:hint="eastAsia" w:asciiTheme="minorEastAsia" w:hAnsiTheme="minorEastAsia" w:eastAsiaTheme="minorEastAsia" w:cstheme="minorEastAsia"/>
          <w:b/>
          <w:bCs/>
          <w:w w:val="95"/>
          <w:sz w:val="32"/>
          <w:szCs w:val="32"/>
        </w:rPr>
        <w:t>单位医疗★</w:t>
      </w:r>
      <w:r>
        <w:rPr>
          <w:rFonts w:hint="eastAsia" w:asciiTheme="minorEastAsia" w:hAnsiTheme="minorEastAsia" w:eastAsiaTheme="minorEastAsia" w:cstheme="minorEastAsia"/>
          <w:b/>
          <w:bCs/>
          <w:spacing w:val="14"/>
          <w:w w:val="95"/>
          <w:sz w:val="32"/>
          <w:szCs w:val="32"/>
        </w:rPr>
        <w:t>（项）</w:t>
      </w:r>
      <w:r>
        <w:rPr>
          <w:rFonts w:hint="eastAsia" w:asciiTheme="minorEastAsia" w:hAnsiTheme="minorEastAsia" w:eastAsiaTheme="minorEastAsia" w:cstheme="minorEastAsia"/>
          <w:b/>
          <w:bCs/>
          <w:w w:val="95"/>
          <w:sz w:val="32"/>
          <w:szCs w:val="32"/>
        </w:rPr>
        <w:t xml:space="preserve"> </w:t>
      </w:r>
      <w:r>
        <w:rPr>
          <w:rFonts w:hint="eastAsia" w:asciiTheme="minorEastAsia" w:hAnsiTheme="minorEastAsia" w:eastAsiaTheme="minorEastAsia" w:cstheme="minorEastAsia"/>
          <w:b w:val="0"/>
          <w:bCs/>
          <w:spacing w:val="9"/>
          <w:w w:val="95"/>
          <w:sz w:val="32"/>
          <w:szCs w:val="32"/>
        </w:rPr>
        <w:t>年初预算为</w:t>
      </w:r>
      <w:r>
        <w:rPr>
          <w:rFonts w:hint="eastAsia" w:asciiTheme="minorEastAsia" w:hAnsiTheme="minorEastAsia" w:eastAsiaTheme="minorEastAsia" w:cstheme="minorEastAsia"/>
          <w:b w:val="0"/>
          <w:bCs/>
          <w:sz w:val="32"/>
          <w:szCs w:val="32"/>
          <w:lang w:val="en-US" w:eastAsia="zh-CN"/>
        </w:rPr>
        <w:t>4.35</w:t>
      </w:r>
      <w:r>
        <w:rPr>
          <w:rFonts w:hint="eastAsia" w:asciiTheme="minorEastAsia" w:hAnsiTheme="minorEastAsia" w:eastAsiaTheme="minorEastAsia" w:cstheme="minorEastAsia"/>
          <w:b w:val="0"/>
          <w:bCs/>
          <w:spacing w:val="-2"/>
          <w:sz w:val="32"/>
          <w:szCs w:val="32"/>
        </w:rPr>
        <w:t>万元， 支出决算为</w:t>
      </w:r>
      <w:r>
        <w:rPr>
          <w:rFonts w:hint="eastAsia" w:asciiTheme="minorEastAsia" w:hAnsiTheme="minorEastAsia" w:eastAsiaTheme="minorEastAsia" w:cstheme="minorEastAsia"/>
          <w:b w:val="0"/>
          <w:bCs/>
          <w:spacing w:val="-2"/>
          <w:sz w:val="32"/>
          <w:szCs w:val="32"/>
          <w:lang w:val="en-US" w:eastAsia="zh-CN"/>
        </w:rPr>
        <w:t>4.35</w:t>
      </w:r>
      <w:r>
        <w:rPr>
          <w:rFonts w:hint="eastAsia" w:asciiTheme="minorEastAsia" w:hAnsiTheme="minorEastAsia" w:eastAsiaTheme="minorEastAsia" w:cstheme="minorEastAsia"/>
          <w:b w:val="0"/>
          <w:bCs/>
          <w:spacing w:val="8"/>
          <w:sz w:val="32"/>
          <w:szCs w:val="32"/>
        </w:rPr>
        <w:t>万元， 完成年初预算的</w:t>
      </w:r>
      <w:r>
        <w:rPr>
          <w:rFonts w:hint="eastAsia" w:asciiTheme="minorEastAsia" w:hAnsiTheme="minorEastAsia" w:eastAsiaTheme="minorEastAsia" w:cstheme="minorEastAsia"/>
          <w:b w:val="0"/>
          <w:bCs/>
          <w:spacing w:val="8"/>
          <w:sz w:val="32"/>
          <w:szCs w:val="32"/>
          <w:lang w:val="en-US" w:eastAsia="zh-CN"/>
        </w:rPr>
        <w:t>100%。</w:t>
      </w:r>
    </w:p>
    <w:p>
      <w:pPr>
        <w:pStyle w:val="5"/>
        <w:spacing w:before="103" w:line="348" w:lineRule="auto"/>
        <w:ind w:left="320" w:right="439" w:firstLine="611" w:firstLineChars="200"/>
        <w:rPr>
          <w:rFonts w:hint="eastAsia" w:ascii="黑体" w:eastAsia="黑体"/>
        </w:rPr>
      </w:pPr>
      <w:r>
        <w:rPr>
          <w:rFonts w:hint="eastAsia" w:asciiTheme="minorEastAsia" w:hAnsiTheme="minorEastAsia" w:eastAsiaTheme="minorEastAsia" w:cstheme="minorEastAsia"/>
          <w:b/>
          <w:bCs/>
          <w:w w:val="95"/>
          <w:sz w:val="32"/>
          <w:szCs w:val="32"/>
          <w:lang w:val="en-US" w:eastAsia="zh-CN"/>
        </w:rPr>
        <w:t>6、</w:t>
      </w:r>
      <w:r>
        <w:rPr>
          <w:rFonts w:hint="eastAsia" w:asciiTheme="minorEastAsia" w:hAnsiTheme="minorEastAsia" w:eastAsiaTheme="minorEastAsia" w:cstheme="minorEastAsia"/>
          <w:b/>
          <w:bCs/>
          <w:w w:val="95"/>
          <w:sz w:val="32"/>
          <w:szCs w:val="32"/>
        </w:rPr>
        <w:t xml:space="preserve"> </w:t>
      </w:r>
      <w:r>
        <w:rPr>
          <w:rFonts w:hint="eastAsia" w:asciiTheme="minorEastAsia" w:hAnsiTheme="minorEastAsia" w:eastAsiaTheme="minorEastAsia" w:cstheme="minorEastAsia"/>
          <w:b/>
          <w:bCs/>
          <w:spacing w:val="7"/>
          <w:w w:val="95"/>
          <w:sz w:val="32"/>
          <w:szCs w:val="32"/>
        </w:rPr>
        <w:t>医疗卫生与计划生育支出</w:t>
      </w:r>
      <w:r>
        <w:rPr>
          <w:rFonts w:hint="eastAsia" w:asciiTheme="minorEastAsia" w:hAnsiTheme="minorEastAsia" w:eastAsiaTheme="minorEastAsia" w:cstheme="minorEastAsia"/>
          <w:b/>
          <w:bCs/>
          <w:spacing w:val="7"/>
          <w:w w:val="95"/>
          <w:sz w:val="32"/>
          <w:szCs w:val="32"/>
          <w:lang w:eastAsia="zh-CN"/>
        </w:rPr>
        <w:t>（</w:t>
      </w:r>
      <w:r>
        <w:rPr>
          <w:rFonts w:hint="eastAsia" w:asciiTheme="minorEastAsia" w:hAnsiTheme="minorEastAsia" w:eastAsiaTheme="minorEastAsia" w:cstheme="minorEastAsia"/>
          <w:b/>
          <w:bCs/>
          <w:spacing w:val="7"/>
          <w:w w:val="95"/>
          <w:sz w:val="32"/>
          <w:szCs w:val="32"/>
        </w:rPr>
        <w:t>类）行政事业单位医疗★</w:t>
      </w:r>
      <w:r>
        <w:rPr>
          <w:rFonts w:hint="eastAsia" w:asciiTheme="minorEastAsia" w:hAnsiTheme="minorEastAsia" w:eastAsiaTheme="minorEastAsia" w:cstheme="minorEastAsia"/>
          <w:b/>
          <w:bCs/>
          <w:spacing w:val="7"/>
          <w:w w:val="95"/>
          <w:sz w:val="32"/>
          <w:szCs w:val="32"/>
          <w:lang w:eastAsia="zh-CN"/>
        </w:rPr>
        <w:t>（</w:t>
      </w:r>
      <w:r>
        <w:rPr>
          <w:rFonts w:hint="eastAsia" w:asciiTheme="minorEastAsia" w:hAnsiTheme="minorEastAsia" w:eastAsiaTheme="minorEastAsia" w:cstheme="minorEastAsia"/>
          <w:b/>
          <w:bCs/>
          <w:spacing w:val="7"/>
          <w:w w:val="95"/>
          <w:sz w:val="32"/>
          <w:szCs w:val="32"/>
          <w:lang w:val="en-US" w:eastAsia="zh-CN"/>
        </w:rPr>
        <w:t>款</w:t>
      </w:r>
      <w:r>
        <w:rPr>
          <w:rFonts w:hint="eastAsia" w:asciiTheme="minorEastAsia" w:hAnsiTheme="minorEastAsia" w:eastAsiaTheme="minorEastAsia" w:cstheme="minorEastAsia"/>
          <w:b/>
          <w:bCs/>
          <w:w w:val="95"/>
          <w:sz w:val="32"/>
          <w:szCs w:val="32"/>
        </w:rPr>
        <w:t>）事业单位医疗★</w:t>
      </w:r>
      <w:r>
        <w:rPr>
          <w:rFonts w:hint="eastAsia" w:asciiTheme="minorEastAsia" w:hAnsiTheme="minorEastAsia" w:eastAsiaTheme="minorEastAsia" w:cstheme="minorEastAsia"/>
          <w:b/>
          <w:bCs/>
          <w:spacing w:val="14"/>
          <w:w w:val="95"/>
          <w:sz w:val="32"/>
          <w:szCs w:val="32"/>
        </w:rPr>
        <w:t>（项）</w:t>
      </w:r>
      <w:r>
        <w:rPr>
          <w:rFonts w:hint="eastAsia" w:asciiTheme="minorEastAsia" w:hAnsiTheme="minorEastAsia" w:eastAsiaTheme="minorEastAsia" w:cstheme="minorEastAsia"/>
          <w:b/>
          <w:bCs/>
          <w:spacing w:val="12"/>
          <w:w w:val="95"/>
          <w:sz w:val="32"/>
          <w:szCs w:val="32"/>
        </w:rPr>
        <w:t>。</w:t>
      </w:r>
      <w:r>
        <w:rPr>
          <w:rFonts w:hint="eastAsia" w:asciiTheme="minorEastAsia" w:hAnsiTheme="minorEastAsia" w:eastAsiaTheme="minorEastAsia" w:cstheme="minorEastAsia"/>
          <w:b w:val="0"/>
          <w:bCs/>
          <w:spacing w:val="9"/>
          <w:w w:val="95"/>
          <w:sz w:val="32"/>
          <w:szCs w:val="32"/>
        </w:rPr>
        <w:t>年初预算为</w:t>
      </w:r>
      <w:r>
        <w:rPr>
          <w:rFonts w:hint="eastAsia" w:asciiTheme="minorEastAsia" w:hAnsiTheme="minorEastAsia" w:eastAsiaTheme="minorEastAsia" w:cstheme="minorEastAsia"/>
          <w:b w:val="0"/>
          <w:bCs/>
          <w:sz w:val="32"/>
          <w:szCs w:val="32"/>
          <w:lang w:val="en-US" w:eastAsia="zh-CN"/>
        </w:rPr>
        <w:t>5.03</w:t>
      </w:r>
      <w:r>
        <w:rPr>
          <w:rFonts w:hint="eastAsia" w:asciiTheme="minorEastAsia" w:hAnsiTheme="minorEastAsia" w:eastAsiaTheme="minorEastAsia" w:cstheme="minorEastAsia"/>
          <w:b w:val="0"/>
          <w:bCs/>
          <w:spacing w:val="-2"/>
          <w:sz w:val="32"/>
          <w:szCs w:val="32"/>
        </w:rPr>
        <w:t>万元， 支出决算为</w:t>
      </w:r>
      <w:r>
        <w:rPr>
          <w:rFonts w:hint="eastAsia" w:asciiTheme="minorEastAsia" w:hAnsiTheme="minorEastAsia" w:eastAsiaTheme="minorEastAsia" w:cstheme="minorEastAsia"/>
          <w:b w:val="0"/>
          <w:bCs/>
          <w:spacing w:val="-2"/>
          <w:sz w:val="32"/>
          <w:szCs w:val="32"/>
          <w:lang w:val="en-US" w:eastAsia="zh-CN"/>
        </w:rPr>
        <w:t>5.03</w:t>
      </w:r>
      <w:r>
        <w:rPr>
          <w:rFonts w:hint="eastAsia" w:asciiTheme="minorEastAsia" w:hAnsiTheme="minorEastAsia" w:eastAsiaTheme="minorEastAsia" w:cstheme="minorEastAsia"/>
          <w:b w:val="0"/>
          <w:bCs/>
          <w:spacing w:val="8"/>
          <w:sz w:val="32"/>
          <w:szCs w:val="32"/>
        </w:rPr>
        <w:t>万元， 完成年初预算的</w:t>
      </w:r>
      <w:r>
        <w:rPr>
          <w:rFonts w:hint="eastAsia" w:asciiTheme="minorEastAsia" w:hAnsiTheme="minorEastAsia" w:eastAsiaTheme="minorEastAsia" w:cstheme="minorEastAsia"/>
          <w:b w:val="0"/>
          <w:bCs/>
          <w:spacing w:val="8"/>
          <w:sz w:val="32"/>
          <w:szCs w:val="32"/>
          <w:lang w:val="en-US" w:eastAsia="zh-CN"/>
        </w:rPr>
        <w:t>100%。</w:t>
      </w:r>
    </w:p>
    <w:p>
      <w:pPr>
        <w:pStyle w:val="5"/>
        <w:spacing w:before="180"/>
        <w:ind w:left="960"/>
        <w:rPr>
          <w:rFonts w:hint="eastAsia" w:ascii="黑体" w:eastAsia="黑体"/>
        </w:rPr>
      </w:pPr>
      <w:r>
        <w:rPr>
          <w:rFonts w:hint="eastAsia" w:ascii="黑体" w:eastAsia="黑体"/>
        </w:rPr>
        <w:t>六、一般公共预算财政拨款基本支出决算情况说明</w:t>
      </w:r>
    </w:p>
    <w:p>
      <w:pPr>
        <w:pStyle w:val="5"/>
        <w:keepNext w:val="0"/>
        <w:keepLines w:val="0"/>
        <w:pageBreakBefore w:val="0"/>
        <w:widowControl w:val="0"/>
        <w:kinsoku/>
        <w:wordWrap/>
        <w:overflowPunct/>
        <w:topLinePunct w:val="0"/>
        <w:autoSpaceDE w:val="0"/>
        <w:autoSpaceDN w:val="0"/>
        <w:bidi w:val="0"/>
        <w:adjustRightInd/>
        <w:snapToGrid/>
        <w:spacing w:before="180" w:line="360" w:lineRule="auto"/>
        <w:ind w:left="960"/>
        <w:textAlignment w:val="auto"/>
        <w:outlineLvl w:val="9"/>
      </w:pPr>
      <w:r>
        <w:t>201</w:t>
      </w:r>
      <w:r>
        <w:rPr>
          <w:rFonts w:hint="eastAsia"/>
          <w:lang w:val="en-US" w:eastAsia="zh-CN"/>
        </w:rPr>
        <w:t>8</w:t>
      </w:r>
      <w:r>
        <w:t xml:space="preserve"> 年度一般公共预算财政拨款基本支出</w:t>
      </w:r>
      <w:r>
        <w:rPr>
          <w:rFonts w:hint="eastAsia"/>
          <w:lang w:val="en-US" w:eastAsia="zh-CN"/>
        </w:rPr>
        <w:t>236.15</w:t>
      </w:r>
      <w:r>
        <w:t>万元。</w:t>
      </w:r>
    </w:p>
    <w:p>
      <w:pPr>
        <w:pStyle w:val="5"/>
        <w:keepNext w:val="0"/>
        <w:keepLines w:val="0"/>
        <w:pageBreakBefore w:val="0"/>
        <w:widowControl w:val="0"/>
        <w:kinsoku/>
        <w:wordWrap/>
        <w:overflowPunct/>
        <w:topLinePunct w:val="0"/>
        <w:autoSpaceDE w:val="0"/>
        <w:autoSpaceDN w:val="0"/>
        <w:bidi w:val="0"/>
        <w:adjustRightInd/>
        <w:snapToGrid/>
        <w:spacing w:before="35" w:line="360" w:lineRule="auto"/>
        <w:ind w:left="320" w:right="438"/>
        <w:textAlignment w:val="auto"/>
        <w:outlineLvl w:val="9"/>
      </w:pPr>
      <w:r>
        <w:t>与</w:t>
      </w:r>
      <w:r>
        <w:rPr>
          <w:spacing w:val="-82"/>
        </w:rPr>
        <w:t xml:space="preserve"> </w:t>
      </w:r>
      <w:r>
        <w:t>201</w:t>
      </w:r>
      <w:r>
        <w:rPr>
          <w:rFonts w:hint="eastAsia"/>
          <w:lang w:val="en-US" w:eastAsia="zh-CN"/>
        </w:rPr>
        <w:t>7</w:t>
      </w:r>
      <w:r>
        <w:rPr>
          <w:spacing w:val="-82"/>
        </w:rPr>
        <w:t xml:space="preserve"> </w:t>
      </w:r>
      <w:r>
        <w:t>年度相比，</w:t>
      </w:r>
      <w:r>
        <w:rPr>
          <w:rFonts w:hint="eastAsia"/>
          <w:lang w:val="en-US" w:eastAsia="zh-CN"/>
        </w:rPr>
        <w:t>增加26.08</w:t>
      </w:r>
      <w:r>
        <w:t>万元，增长</w:t>
      </w:r>
      <w:r>
        <w:rPr>
          <w:rFonts w:hint="eastAsia"/>
          <w:lang w:val="en-US" w:eastAsia="zh-CN"/>
        </w:rPr>
        <w:t>11%</w:t>
      </w:r>
      <w:r>
        <w:t xml:space="preserve">，主要原因： </w:t>
      </w:r>
      <w:r>
        <w:rPr>
          <w:spacing w:val="-2"/>
        </w:rPr>
        <w:t>社会治安保险项目、司法救助项目、十九大安保维稳和精神</w:t>
      </w:r>
      <w:r>
        <w:rPr>
          <w:spacing w:val="2"/>
        </w:rPr>
        <w:t xml:space="preserve">病监护人以奖代补资金的支出。其中：人员经费 </w:t>
      </w:r>
      <w:r>
        <w:rPr>
          <w:rFonts w:hint="eastAsia"/>
          <w:lang w:val="en-US" w:eastAsia="zh-CN"/>
        </w:rPr>
        <w:t>228.17</w:t>
      </w:r>
      <w:r>
        <w:rPr>
          <w:spacing w:val="-41"/>
        </w:rPr>
        <w:t>万</w:t>
      </w:r>
      <w:r>
        <w:rPr>
          <w:spacing w:val="-8"/>
        </w:rPr>
        <w:t>元，主要包括：基本工资、津贴补贴、伙食补助费、绩效工</w:t>
      </w:r>
      <w:r>
        <w:rPr>
          <w:spacing w:val="-4"/>
        </w:rPr>
        <w:t>资、机关事业单位基本养老保险缴费、职业年金缴费、其他社会保障缴费、其他工资福利支出、退休费、生活补助、医疗费、奖励金、住房公积金、采暖补贴、其他对个人和家庭</w:t>
      </w:r>
      <w:r>
        <w:rPr>
          <w:spacing w:val="-12"/>
        </w:rPr>
        <w:t xml:space="preserve">的补助支出等；公用经费 </w:t>
      </w:r>
      <w:r>
        <w:rPr>
          <w:rFonts w:hint="eastAsia"/>
          <w:lang w:val="en-US" w:eastAsia="zh-CN"/>
        </w:rPr>
        <w:t>41.34</w:t>
      </w:r>
      <w:r>
        <w:rPr>
          <w:spacing w:val="-11"/>
        </w:rPr>
        <w:t xml:space="preserve"> 万元，主要包括：办公费、</w:t>
      </w:r>
      <w:r>
        <w:rPr>
          <w:spacing w:val="-15"/>
        </w:rPr>
        <w:t>印刷费、手续费、水费、电费、邮电费、差旅费、维修</w:t>
      </w:r>
      <w:r>
        <w:t>（护</w:t>
      </w:r>
      <w:r>
        <w:rPr>
          <w:spacing w:val="-12"/>
        </w:rPr>
        <w:t xml:space="preserve">） </w:t>
      </w:r>
      <w:r>
        <w:rPr>
          <w:spacing w:val="-3"/>
        </w:rPr>
        <w:t>费、租赁费、会议费、培训费、公务接待费、劳务费、工会</w:t>
      </w:r>
      <w:r>
        <w:rPr>
          <w:spacing w:val="-4"/>
        </w:rPr>
        <w:t>经费、福利费、公务用车运行维护费、其他交通费用、税金</w:t>
      </w:r>
      <w:r>
        <w:rPr>
          <w:spacing w:val="-5"/>
        </w:rPr>
        <w:t>及附加费用、其他商品和服务支出、办公设备购置、专用设备购置、信息网络及软件购置更新等。</w:t>
      </w:r>
    </w:p>
    <w:p>
      <w:pPr>
        <w:pStyle w:val="5"/>
        <w:spacing w:line="405" w:lineRule="exact"/>
        <w:ind w:left="960"/>
        <w:rPr>
          <w:rFonts w:hint="eastAsia" w:ascii="黑体" w:hAnsi="黑体" w:eastAsia="黑体"/>
        </w:rPr>
      </w:pPr>
      <w:r>
        <w:rPr>
          <w:rFonts w:hint="eastAsia" w:ascii="黑体" w:hAnsi="黑体" w:eastAsia="黑体"/>
        </w:rPr>
        <w:t>七、一般公共预算财政拨款“三公”经费支出决算情况</w:t>
      </w:r>
    </w:p>
    <w:p>
      <w:pPr>
        <w:pStyle w:val="5"/>
        <w:spacing w:before="11"/>
        <w:rPr>
          <w:rFonts w:ascii="黑体"/>
          <w:sz w:val="9"/>
        </w:rPr>
      </w:pPr>
    </w:p>
    <w:p>
      <w:pPr>
        <w:pStyle w:val="5"/>
        <w:spacing w:before="55"/>
        <w:ind w:left="320"/>
        <w:rPr>
          <w:rFonts w:hint="eastAsia" w:ascii="黑体" w:eastAsia="黑体"/>
        </w:rPr>
      </w:pPr>
      <w:r>
        <w:rPr>
          <w:rFonts w:hint="eastAsia" w:ascii="黑体" w:eastAsia="黑体"/>
        </w:rPr>
        <w:t>说明</w:t>
      </w:r>
    </w:p>
    <w:p>
      <w:pPr>
        <w:pStyle w:val="5"/>
        <w:spacing w:before="180"/>
        <w:ind w:left="960"/>
      </w:pPr>
      <w:r>
        <w:t>（一）“三公”经费财政拨款支出决算总体情况说明。</w:t>
      </w:r>
    </w:p>
    <w:p>
      <w:pPr>
        <w:pStyle w:val="5"/>
        <w:spacing w:before="180"/>
        <w:ind w:left="960"/>
      </w:pPr>
      <w:r>
        <w:t>201</w:t>
      </w:r>
      <w:r>
        <w:rPr>
          <w:rFonts w:hint="eastAsia"/>
          <w:lang w:val="en-US" w:eastAsia="zh-CN"/>
        </w:rPr>
        <w:t>8</w:t>
      </w:r>
      <w:r>
        <w:t xml:space="preserve"> 年度“三公”经费财政拨款支出预算为</w:t>
      </w:r>
      <w:r>
        <w:rPr>
          <w:rFonts w:hint="eastAsia"/>
          <w:lang w:val="en-US" w:eastAsia="zh-CN"/>
        </w:rPr>
        <w:t>14.5</w:t>
      </w:r>
      <w:r>
        <w:t>万元，</w:t>
      </w:r>
    </w:p>
    <w:p>
      <w:pPr>
        <w:pStyle w:val="5"/>
        <w:spacing w:before="9"/>
        <w:rPr>
          <w:sz w:val="9"/>
        </w:rPr>
      </w:pPr>
    </w:p>
    <w:p>
      <w:pPr>
        <w:pStyle w:val="5"/>
        <w:spacing w:before="59" w:line="343" w:lineRule="auto"/>
        <w:ind w:left="320" w:right="438"/>
      </w:pPr>
      <w:r>
        <w:t>支出决算为</w:t>
      </w:r>
      <w:r>
        <w:rPr>
          <w:rFonts w:hint="eastAsia"/>
          <w:lang w:val="en-US" w:eastAsia="zh-CN"/>
        </w:rPr>
        <w:t>14.5</w:t>
      </w:r>
      <w:r>
        <w:t>万元</w:t>
      </w:r>
      <w:r>
        <w:rPr>
          <w:spacing w:val="-5"/>
        </w:rPr>
        <w:t>，</w:t>
      </w:r>
      <w:r>
        <w:t>完成预算的</w:t>
      </w:r>
      <w:r>
        <w:rPr>
          <w:rFonts w:hint="eastAsia"/>
          <w:lang w:val="en-US" w:eastAsia="zh-CN"/>
        </w:rPr>
        <w:t>100%</w:t>
      </w:r>
      <w:r>
        <w:rPr>
          <w:spacing w:val="-3"/>
        </w:rPr>
        <w:t>。</w:t>
      </w:r>
    </w:p>
    <w:p>
      <w:pPr>
        <w:pStyle w:val="5"/>
        <w:spacing w:before="7"/>
        <w:ind w:left="960"/>
      </w:pPr>
      <w:r>
        <w:rPr>
          <w:w w:val="95"/>
        </w:rPr>
        <w:t>（二）“三公”经费财政拨款支出决算具体情况说明。</w:t>
      </w:r>
    </w:p>
    <w:p>
      <w:pPr>
        <w:pStyle w:val="5"/>
        <w:spacing w:before="181"/>
        <w:ind w:left="960"/>
      </w:pPr>
      <w:r>
        <w:t>201</w:t>
      </w:r>
      <w:r>
        <w:rPr>
          <w:rFonts w:hint="eastAsia"/>
          <w:lang w:val="en-US" w:eastAsia="zh-CN"/>
        </w:rPr>
        <w:t>8</w:t>
      </w:r>
      <w:r>
        <w:rPr>
          <w:spacing w:val="-15"/>
        </w:rPr>
        <w:t xml:space="preserve"> 年度“三公”经费财政拨款支出决算中，因公出国</w:t>
      </w:r>
    </w:p>
    <w:p>
      <w:pPr>
        <w:pStyle w:val="5"/>
        <w:spacing w:before="180"/>
        <w:ind w:left="320"/>
      </w:pPr>
      <w:r>
        <w:t>（境</w:t>
      </w:r>
      <w:r>
        <w:rPr>
          <w:spacing w:val="-7"/>
        </w:rPr>
        <w:t>）</w:t>
      </w:r>
      <w:r>
        <w:rPr>
          <w:spacing w:val="-15"/>
        </w:rPr>
        <w:t xml:space="preserve">费支出决算 </w:t>
      </w:r>
      <w:r>
        <w:t>0</w:t>
      </w:r>
      <w:r>
        <w:rPr>
          <w:spacing w:val="-11"/>
        </w:rPr>
        <w:t xml:space="preserve"> 万元；公务用车购置及运行费支出决算</w:t>
      </w:r>
    </w:p>
    <w:p>
      <w:pPr>
        <w:pStyle w:val="5"/>
        <w:spacing w:before="183"/>
        <w:ind w:left="320"/>
      </w:pPr>
      <w:r>
        <w:rPr>
          <w:rFonts w:hint="eastAsia"/>
          <w:lang w:val="en-US" w:eastAsia="zh-CN"/>
        </w:rPr>
        <w:t>14</w:t>
      </w:r>
      <w:r>
        <w:t>万元，完成预算的</w:t>
      </w:r>
      <w:r>
        <w:rPr>
          <w:spacing w:val="-82"/>
        </w:rPr>
        <w:t xml:space="preserve"> </w:t>
      </w:r>
      <w:r>
        <w:rPr>
          <w:rFonts w:hint="eastAsia"/>
          <w:spacing w:val="6"/>
          <w:lang w:val="en-US" w:eastAsia="zh-CN"/>
        </w:rPr>
        <w:t>100</w:t>
      </w:r>
      <w:r>
        <w:rPr>
          <w:spacing w:val="11"/>
          <w:w w:val="99"/>
        </w:rPr>
        <w:drawing>
          <wp:inline distT="0" distB="0" distL="0" distR="0">
            <wp:extent cx="85090" cy="154940"/>
            <wp:effectExtent l="0" t="0" r="0" b="0"/>
            <wp:docPr id="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image1.png"/>
                    <pic:cNvPicPr>
                      <a:picLocks noChangeAspect="1"/>
                    </pic:cNvPicPr>
                  </pic:nvPicPr>
                  <pic:blipFill>
                    <a:blip r:embed="rId6" cstate="print"/>
                    <a:stretch>
                      <a:fillRect/>
                    </a:stretch>
                  </pic:blipFill>
                  <pic:spPr>
                    <a:xfrm>
                      <a:off x="0" y="0"/>
                      <a:ext cx="85724" cy="155574"/>
                    </a:xfrm>
                    <a:prstGeom prst="rect">
                      <a:avLst/>
                    </a:prstGeom>
                  </pic:spPr>
                </pic:pic>
              </a:graphicData>
            </a:graphic>
          </wp:inline>
        </w:drawing>
      </w:r>
      <w:r>
        <w:t>，占</w:t>
      </w:r>
      <w:r>
        <w:rPr>
          <w:spacing w:val="-82"/>
        </w:rPr>
        <w:t xml:space="preserve"> </w:t>
      </w:r>
      <w:r>
        <w:rPr>
          <w:rFonts w:hint="eastAsia"/>
          <w:spacing w:val="6"/>
          <w:lang w:val="en-US" w:eastAsia="zh-CN"/>
        </w:rPr>
        <w:t>100</w:t>
      </w:r>
      <w:r>
        <w:rPr>
          <w:spacing w:val="11"/>
          <w:w w:val="99"/>
        </w:rPr>
        <w:drawing>
          <wp:inline distT="0" distB="0" distL="0" distR="0">
            <wp:extent cx="85090" cy="154940"/>
            <wp:effectExtent l="0" t="0" r="0" b="0"/>
            <wp:docPr id="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image1.png"/>
                    <pic:cNvPicPr>
                      <a:picLocks noChangeAspect="1"/>
                    </pic:cNvPicPr>
                  </pic:nvPicPr>
                  <pic:blipFill>
                    <a:blip r:embed="rId6" cstate="print"/>
                    <a:stretch>
                      <a:fillRect/>
                    </a:stretch>
                  </pic:blipFill>
                  <pic:spPr>
                    <a:xfrm>
                      <a:off x="0" y="0"/>
                      <a:ext cx="85724" cy="155574"/>
                    </a:xfrm>
                    <a:prstGeom prst="rect">
                      <a:avLst/>
                    </a:prstGeom>
                  </pic:spPr>
                </pic:pic>
              </a:graphicData>
            </a:graphic>
          </wp:inline>
        </w:drawing>
      </w:r>
      <w:r>
        <w:t>；公务接待费支出决算</w:t>
      </w:r>
    </w:p>
    <w:p>
      <w:pPr>
        <w:pStyle w:val="5"/>
        <w:spacing w:before="171"/>
        <w:ind w:left="320"/>
      </w:pPr>
      <w:r>
        <w:rPr>
          <w:rFonts w:hint="eastAsia"/>
          <w:position w:val="1"/>
          <w:lang w:val="en-US" w:eastAsia="zh-CN"/>
        </w:rPr>
        <w:t>0</w:t>
      </w:r>
      <w:r>
        <w:rPr>
          <w:spacing w:val="-83"/>
          <w:position w:val="1"/>
        </w:rPr>
        <w:t xml:space="preserve"> </w:t>
      </w:r>
      <w:r>
        <w:rPr>
          <w:position w:val="1"/>
        </w:rPr>
        <w:t>万元，完成预算的</w:t>
      </w:r>
      <w:r>
        <w:rPr>
          <w:spacing w:val="-81"/>
          <w:position w:val="1"/>
        </w:rPr>
        <w:t xml:space="preserve"> </w:t>
      </w:r>
      <w:r>
        <w:rPr>
          <w:rFonts w:hint="eastAsia"/>
          <w:spacing w:val="3"/>
          <w:position w:val="1"/>
          <w:lang w:val="en-US" w:eastAsia="zh-CN"/>
        </w:rPr>
        <w:t>0</w:t>
      </w:r>
      <w:r>
        <w:rPr>
          <w:spacing w:val="8"/>
          <w:w w:val="99"/>
        </w:rPr>
        <w:drawing>
          <wp:inline distT="0" distB="0" distL="0" distR="0">
            <wp:extent cx="85090" cy="154940"/>
            <wp:effectExtent l="0" t="0" r="0" b="0"/>
            <wp:docPr id="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image1.png"/>
                    <pic:cNvPicPr>
                      <a:picLocks noChangeAspect="1"/>
                    </pic:cNvPicPr>
                  </pic:nvPicPr>
                  <pic:blipFill>
                    <a:blip r:embed="rId6" cstate="print"/>
                    <a:stretch>
                      <a:fillRect/>
                    </a:stretch>
                  </pic:blipFill>
                  <pic:spPr>
                    <a:xfrm>
                      <a:off x="0" y="0"/>
                      <a:ext cx="85724" cy="155574"/>
                    </a:xfrm>
                    <a:prstGeom prst="rect">
                      <a:avLst/>
                    </a:prstGeom>
                  </pic:spPr>
                </pic:pic>
              </a:graphicData>
            </a:graphic>
          </wp:inline>
        </w:drawing>
      </w:r>
      <w:r>
        <w:rPr>
          <w:position w:val="1"/>
        </w:rPr>
        <w:t>，占</w:t>
      </w:r>
      <w:r>
        <w:rPr>
          <w:spacing w:val="-81"/>
          <w:position w:val="1"/>
        </w:rPr>
        <w:t xml:space="preserve"> </w:t>
      </w:r>
      <w:r>
        <w:rPr>
          <w:rFonts w:hint="eastAsia"/>
          <w:spacing w:val="4"/>
          <w:position w:val="1"/>
          <w:lang w:val="en-US" w:eastAsia="zh-CN"/>
        </w:rPr>
        <w:t>0</w:t>
      </w:r>
      <w:r>
        <w:rPr>
          <w:spacing w:val="8"/>
          <w:w w:val="99"/>
        </w:rPr>
        <w:drawing>
          <wp:inline distT="0" distB="0" distL="0" distR="0">
            <wp:extent cx="85090" cy="154940"/>
            <wp:effectExtent l="0" t="0" r="0" b="0"/>
            <wp:docPr id="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image1.png"/>
                    <pic:cNvPicPr>
                      <a:picLocks noChangeAspect="1"/>
                    </pic:cNvPicPr>
                  </pic:nvPicPr>
                  <pic:blipFill>
                    <a:blip r:embed="rId6" cstate="print"/>
                    <a:stretch>
                      <a:fillRect/>
                    </a:stretch>
                  </pic:blipFill>
                  <pic:spPr>
                    <a:xfrm>
                      <a:off x="0" y="0"/>
                      <a:ext cx="85724" cy="155574"/>
                    </a:xfrm>
                    <a:prstGeom prst="rect">
                      <a:avLst/>
                    </a:prstGeom>
                  </pic:spPr>
                </pic:pic>
              </a:graphicData>
            </a:graphic>
          </wp:inline>
        </w:drawing>
      </w:r>
      <w:r>
        <w:rPr>
          <w:position w:val="1"/>
        </w:rPr>
        <w:t>。具体情况如下：</w:t>
      </w:r>
    </w:p>
    <w:p>
      <w:pPr>
        <w:pStyle w:val="9"/>
        <w:keepNext w:val="0"/>
        <w:keepLines w:val="0"/>
        <w:pageBreakBefore w:val="0"/>
        <w:widowControl w:val="0"/>
        <w:numPr>
          <w:ilvl w:val="0"/>
          <w:numId w:val="1"/>
        </w:numPr>
        <w:tabs>
          <w:tab w:val="left" w:pos="1453"/>
        </w:tabs>
        <w:kinsoku/>
        <w:wordWrap/>
        <w:overflowPunct/>
        <w:topLinePunct w:val="0"/>
        <w:autoSpaceDE w:val="0"/>
        <w:autoSpaceDN w:val="0"/>
        <w:bidi w:val="0"/>
        <w:adjustRightInd/>
        <w:snapToGrid/>
        <w:spacing w:before="185" w:after="0" w:line="360" w:lineRule="auto"/>
        <w:ind w:left="1452" w:right="0" w:hanging="492"/>
        <w:jc w:val="left"/>
        <w:textAlignment w:val="auto"/>
        <w:outlineLvl w:val="9"/>
        <w:rPr>
          <w:sz w:val="32"/>
        </w:rPr>
      </w:pPr>
      <w:r>
        <w:rPr>
          <w:spacing w:val="7"/>
          <w:sz w:val="32"/>
        </w:rPr>
        <w:t>因公出国（境）</w:t>
      </w:r>
      <w:r>
        <w:rPr>
          <w:spacing w:val="-17"/>
          <w:sz w:val="32"/>
        </w:rPr>
        <w:t xml:space="preserve">费支出 </w:t>
      </w:r>
      <w:r>
        <w:rPr>
          <w:sz w:val="32"/>
        </w:rPr>
        <w:t>0</w:t>
      </w:r>
      <w:r>
        <w:rPr>
          <w:spacing w:val="-3"/>
          <w:sz w:val="32"/>
        </w:rPr>
        <w:t xml:space="preserve"> 万元。全年安排委机关因</w:t>
      </w:r>
    </w:p>
    <w:p>
      <w:pPr>
        <w:pStyle w:val="9"/>
        <w:keepNext w:val="0"/>
        <w:keepLines w:val="0"/>
        <w:pageBreakBefore w:val="0"/>
        <w:widowControl w:val="0"/>
        <w:numPr>
          <w:ilvl w:val="0"/>
          <w:numId w:val="1"/>
        </w:numPr>
        <w:tabs>
          <w:tab w:val="left" w:pos="1440"/>
        </w:tabs>
        <w:kinsoku/>
        <w:wordWrap/>
        <w:overflowPunct/>
        <w:topLinePunct w:val="0"/>
        <w:autoSpaceDE w:val="0"/>
        <w:autoSpaceDN w:val="0"/>
        <w:bidi w:val="0"/>
        <w:adjustRightInd/>
        <w:snapToGrid/>
        <w:spacing w:before="35" w:after="0" w:line="360" w:lineRule="auto"/>
        <w:ind w:left="1439" w:right="0" w:hanging="479"/>
        <w:jc w:val="left"/>
        <w:textAlignment w:val="auto"/>
        <w:outlineLvl w:val="9"/>
        <w:rPr>
          <w:sz w:val="32"/>
        </w:rPr>
      </w:pPr>
      <w:r>
        <w:rPr>
          <w:sz w:val="32"/>
          <w:szCs w:val="32"/>
        </w:rPr>
        <w:t>公出国（境）团组 0 个，累计 0 人次</w:t>
      </w:r>
      <w:r>
        <w:t>。</w:t>
      </w:r>
      <w:r>
        <w:rPr>
          <w:spacing w:val="-7"/>
          <w:sz w:val="32"/>
        </w:rPr>
        <w:t>公务用车购置及运行费支出</w:t>
      </w:r>
      <w:r>
        <w:rPr>
          <w:rFonts w:hint="eastAsia"/>
          <w:spacing w:val="-7"/>
          <w:sz w:val="32"/>
          <w:lang w:val="en-US" w:eastAsia="zh-CN"/>
        </w:rPr>
        <w:t>14</w:t>
      </w:r>
      <w:r>
        <w:rPr>
          <w:spacing w:val="-13"/>
          <w:sz w:val="32"/>
        </w:rPr>
        <w:t>万元。其中：</w:t>
      </w:r>
    </w:p>
    <w:p>
      <w:pPr>
        <w:pStyle w:val="5"/>
        <w:spacing w:before="179"/>
        <w:ind w:left="960"/>
      </w:pPr>
      <w:r>
        <w:t>公务用车购置支出为 0 万元。</w:t>
      </w:r>
    </w:p>
    <w:p>
      <w:pPr>
        <w:pStyle w:val="5"/>
        <w:spacing w:before="180" w:line="345" w:lineRule="auto"/>
        <w:ind w:left="320" w:right="439" w:firstLine="640"/>
      </w:pPr>
      <w:r>
        <w:rPr>
          <w:spacing w:val="-4"/>
        </w:rPr>
        <w:t>公务用车运行支出</w:t>
      </w:r>
      <w:r>
        <w:rPr>
          <w:rFonts w:hint="eastAsia"/>
          <w:spacing w:val="-4"/>
          <w:lang w:val="en-US" w:eastAsia="zh-CN"/>
        </w:rPr>
        <w:t>14</w:t>
      </w:r>
      <w:r>
        <w:rPr>
          <w:spacing w:val="-2"/>
        </w:rPr>
        <w:t xml:space="preserve"> 万元。主要用于主要用于开展</w:t>
      </w:r>
      <w:r>
        <w:rPr>
          <w:spacing w:val="-13"/>
          <w:w w:val="95"/>
        </w:rPr>
        <w:t xml:space="preserve">工作所需公务用车的燃料费、维修费、过路过桥费、保险费、 </w:t>
      </w:r>
      <w:r>
        <w:rPr>
          <w:spacing w:val="-17"/>
        </w:rPr>
        <w:t>安全奖励费用等支出。</w:t>
      </w:r>
      <w:r>
        <w:t>201</w:t>
      </w:r>
      <w:r>
        <w:rPr>
          <w:rFonts w:hint="eastAsia"/>
          <w:lang w:val="en-US" w:eastAsia="zh-CN"/>
        </w:rPr>
        <w:t>8</w:t>
      </w:r>
      <w:r>
        <w:rPr>
          <w:spacing w:val="-12"/>
        </w:rPr>
        <w:t xml:space="preserve"> 年度期末，部门财政拨款公务用</w:t>
      </w:r>
      <w:r>
        <w:rPr>
          <w:spacing w:val="-24"/>
        </w:rPr>
        <w:t>车保有量为</w:t>
      </w:r>
      <w:r>
        <w:rPr>
          <w:rFonts w:hint="eastAsia"/>
          <w:spacing w:val="-24"/>
          <w:lang w:val="en-US" w:eastAsia="zh-CN"/>
        </w:rPr>
        <w:t>2</w:t>
      </w:r>
      <w:r>
        <w:rPr>
          <w:spacing w:val="-27"/>
        </w:rPr>
        <w:t xml:space="preserve"> 辆。</w:t>
      </w:r>
    </w:p>
    <w:p>
      <w:pPr>
        <w:pStyle w:val="5"/>
        <w:ind w:left="960"/>
        <w:rPr>
          <w:rFonts w:hint="default" w:eastAsia="宋体"/>
          <w:lang w:val="en-US" w:eastAsia="zh-CN"/>
        </w:rPr>
      </w:pPr>
      <w:r>
        <w:t>公务用车购置及运行费支出决算比 201</w:t>
      </w:r>
      <w:r>
        <w:rPr>
          <w:rFonts w:hint="eastAsia"/>
          <w:lang w:val="en-US" w:eastAsia="zh-CN"/>
        </w:rPr>
        <w:t>7</w:t>
      </w:r>
      <w:r>
        <w:t xml:space="preserve"> 年度减少 0</w:t>
      </w:r>
      <w:r>
        <w:rPr>
          <w:rFonts w:hint="eastAsia"/>
          <w:lang w:val="en-US" w:eastAsia="zh-CN"/>
        </w:rPr>
        <w:t>.5</w:t>
      </w:r>
    </w:p>
    <w:p>
      <w:pPr>
        <w:pStyle w:val="5"/>
        <w:spacing w:before="183" w:line="343" w:lineRule="auto"/>
        <w:ind w:left="320" w:right="600"/>
      </w:pPr>
      <w:r>
        <w:t>万元</w:t>
      </w:r>
      <w:r>
        <w:rPr>
          <w:spacing w:val="-48"/>
        </w:rPr>
        <w:t>，</w:t>
      </w:r>
      <w:r>
        <w:t>下降</w:t>
      </w:r>
      <w:r>
        <w:rPr>
          <w:spacing w:val="-83"/>
        </w:rPr>
        <w:t xml:space="preserve"> </w:t>
      </w:r>
      <w:r>
        <w:rPr>
          <w:rFonts w:hint="eastAsia"/>
          <w:spacing w:val="6"/>
          <w:lang w:val="en-US" w:eastAsia="zh-CN"/>
        </w:rPr>
        <w:t>8</w:t>
      </w:r>
      <w:r>
        <w:rPr>
          <w:spacing w:val="11"/>
          <w:w w:val="99"/>
        </w:rPr>
        <w:drawing>
          <wp:inline distT="0" distB="0" distL="0" distR="0">
            <wp:extent cx="85090" cy="154940"/>
            <wp:effectExtent l="0" t="0" r="0" b="0"/>
            <wp:docPr id="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image1.png"/>
                    <pic:cNvPicPr>
                      <a:picLocks noChangeAspect="1"/>
                    </pic:cNvPicPr>
                  </pic:nvPicPr>
                  <pic:blipFill>
                    <a:blip r:embed="rId6" cstate="print"/>
                    <a:stretch>
                      <a:fillRect/>
                    </a:stretch>
                  </pic:blipFill>
                  <pic:spPr>
                    <a:xfrm>
                      <a:off x="0" y="0"/>
                      <a:ext cx="85724" cy="155574"/>
                    </a:xfrm>
                    <a:prstGeom prst="rect">
                      <a:avLst/>
                    </a:prstGeom>
                  </pic:spPr>
                </pic:pic>
              </a:graphicData>
            </a:graphic>
          </wp:inline>
        </w:drawing>
      </w:r>
      <w:r>
        <w:t>,主要原因是严格按照规定</w:t>
      </w:r>
      <w:r>
        <w:rPr>
          <w:spacing w:val="-48"/>
        </w:rPr>
        <w:t>，</w:t>
      </w:r>
      <w:r>
        <w:t>把关公车运行报备，提倡节俭办公出行。</w:t>
      </w:r>
    </w:p>
    <w:p>
      <w:pPr>
        <w:pStyle w:val="9"/>
        <w:numPr>
          <w:ilvl w:val="0"/>
          <w:numId w:val="1"/>
        </w:numPr>
        <w:tabs>
          <w:tab w:val="left" w:pos="1283"/>
        </w:tabs>
        <w:spacing w:before="3" w:after="0" w:line="240" w:lineRule="auto"/>
        <w:ind w:left="1282" w:right="0" w:hanging="322"/>
        <w:jc w:val="left"/>
        <w:rPr>
          <w:sz w:val="32"/>
        </w:rPr>
      </w:pPr>
      <w:r>
        <w:rPr>
          <w:spacing w:val="-10"/>
          <w:sz w:val="32"/>
        </w:rPr>
        <w:t>公务接待费支出</w:t>
      </w:r>
      <w:r>
        <w:rPr>
          <w:rFonts w:hint="eastAsia"/>
          <w:spacing w:val="-10"/>
          <w:sz w:val="32"/>
          <w:lang w:val="en-US" w:eastAsia="zh-CN"/>
        </w:rPr>
        <w:t>0.5</w:t>
      </w:r>
      <w:r>
        <w:rPr>
          <w:spacing w:val="-13"/>
          <w:sz w:val="32"/>
        </w:rPr>
        <w:t>万元。其中：</w:t>
      </w:r>
    </w:p>
    <w:p>
      <w:pPr>
        <w:pStyle w:val="5"/>
        <w:spacing w:before="181"/>
        <w:ind w:left="960"/>
      </w:pPr>
      <w:r>
        <w:t>外宾接待支出 0 万元。</w:t>
      </w:r>
    </w:p>
    <w:p>
      <w:pPr>
        <w:pStyle w:val="5"/>
        <w:spacing w:before="180" w:line="345" w:lineRule="auto"/>
        <w:ind w:left="320" w:right="600" w:firstLine="640"/>
        <w:jc w:val="both"/>
      </w:pPr>
      <w:r>
        <w:rPr>
          <w:spacing w:val="-8"/>
        </w:rPr>
        <w:t>其他国内公务接待支出</w:t>
      </w:r>
      <w:r>
        <w:rPr>
          <w:rFonts w:hint="eastAsia"/>
          <w:spacing w:val="-8"/>
          <w:lang w:val="en-US" w:eastAsia="zh-CN"/>
        </w:rPr>
        <w:t>0.5</w:t>
      </w:r>
      <w:r>
        <w:rPr>
          <w:spacing w:val="-11"/>
        </w:rPr>
        <w:t>万元。</w:t>
      </w:r>
    </w:p>
    <w:p>
      <w:pPr>
        <w:pStyle w:val="5"/>
        <w:keepNext w:val="0"/>
        <w:keepLines w:val="0"/>
        <w:pageBreakBefore w:val="0"/>
        <w:widowControl/>
        <w:numPr>
          <w:ilvl w:val="0"/>
          <w:numId w:val="0"/>
        </w:numPr>
        <w:kinsoku/>
        <w:wordWrap/>
        <w:overflowPunct/>
        <w:topLinePunct w:val="0"/>
        <w:autoSpaceDE/>
        <w:autoSpaceDN/>
        <w:bidi w:val="0"/>
        <w:adjustRightInd/>
        <w:snapToGrid/>
        <w:spacing w:line="360" w:lineRule="auto"/>
        <w:ind w:firstLine="640" w:firstLineChars="200"/>
        <w:textAlignment w:val="auto"/>
        <w:outlineLvl w:val="9"/>
        <w:rPr>
          <w:rFonts w:ascii="宋体" w:hAnsi="宋体" w:eastAsia="宋体" w:cs="宋体"/>
          <w:sz w:val="32"/>
          <w:szCs w:val="32"/>
        </w:rPr>
      </w:pPr>
      <w:r>
        <w:rPr>
          <w:rFonts w:ascii="宋体" w:hAnsi="宋体" w:eastAsia="宋体" w:cs="宋体"/>
          <w:sz w:val="32"/>
          <w:szCs w:val="32"/>
        </w:rPr>
        <w:t>濮阳</w:t>
      </w:r>
      <w:r>
        <w:rPr>
          <w:rFonts w:hint="eastAsia" w:cs="宋体"/>
          <w:sz w:val="32"/>
          <w:szCs w:val="32"/>
          <w:lang w:val="en-US" w:eastAsia="zh-CN"/>
        </w:rPr>
        <w:t>县政法委</w:t>
      </w:r>
      <w:r>
        <w:rPr>
          <w:rFonts w:ascii="宋体" w:hAnsi="宋体" w:eastAsia="宋体" w:cs="宋体"/>
          <w:sz w:val="32"/>
          <w:szCs w:val="32"/>
        </w:rPr>
        <w:t>201</w:t>
      </w:r>
      <w:r>
        <w:rPr>
          <w:rFonts w:hint="eastAsia" w:cs="宋体"/>
          <w:sz w:val="32"/>
          <w:szCs w:val="32"/>
          <w:lang w:val="en-US" w:eastAsia="zh-CN"/>
        </w:rPr>
        <w:t>8</w:t>
      </w:r>
      <w:r>
        <w:rPr>
          <w:rFonts w:ascii="宋体" w:hAnsi="宋体" w:eastAsia="宋体" w:cs="宋体"/>
          <w:sz w:val="32"/>
          <w:szCs w:val="32"/>
        </w:rPr>
        <w:t>年度共接待国内来访团组</w:t>
      </w:r>
      <w:r>
        <w:rPr>
          <w:rFonts w:hint="eastAsia" w:cs="宋体"/>
          <w:sz w:val="32"/>
          <w:szCs w:val="32"/>
          <w:lang w:val="en-US" w:eastAsia="zh-CN"/>
        </w:rPr>
        <w:t>6</w:t>
      </w:r>
      <w:r>
        <w:rPr>
          <w:rFonts w:ascii="宋体" w:hAnsi="宋体" w:eastAsia="宋体" w:cs="宋体"/>
          <w:sz w:val="32"/>
          <w:szCs w:val="32"/>
        </w:rPr>
        <w:t xml:space="preserve">个、来访人员 </w:t>
      </w:r>
      <w:r>
        <w:rPr>
          <w:rFonts w:hint="eastAsia" w:cs="宋体"/>
          <w:sz w:val="32"/>
          <w:szCs w:val="32"/>
          <w:lang w:val="en-US" w:eastAsia="zh-CN"/>
        </w:rPr>
        <w:t>32</w:t>
      </w:r>
      <w:r>
        <w:rPr>
          <w:rFonts w:ascii="宋体" w:hAnsi="宋体" w:eastAsia="宋体" w:cs="宋体"/>
          <w:sz w:val="32"/>
          <w:szCs w:val="32"/>
        </w:rPr>
        <w:t>人次（不包括陪同人员）。</w:t>
      </w:r>
    </w:p>
    <w:p>
      <w:pPr>
        <w:keepNext w:val="0"/>
        <w:keepLines w:val="0"/>
        <w:pageBreakBefore w:val="0"/>
        <w:widowControl/>
        <w:numPr>
          <w:numId w:val="0"/>
        </w:numPr>
        <w:kinsoku/>
        <w:wordWrap/>
        <w:overflowPunct/>
        <w:topLinePunct w:val="0"/>
        <w:autoSpaceDE/>
        <w:autoSpaceDN/>
        <w:bidi w:val="0"/>
        <w:adjustRightInd/>
        <w:snapToGrid/>
        <w:spacing w:line="590" w:lineRule="exact"/>
        <w:ind w:right="0" w:rightChars="0" w:firstLine="643" w:firstLineChars="200"/>
        <w:jc w:val="both"/>
        <w:textAlignment w:val="auto"/>
        <w:outlineLvl w:val="9"/>
        <w:rPr>
          <w:rFonts w:hint="default" w:ascii="仿宋_GB2312" w:hAnsi="仿宋_GB2312" w:eastAsia="仿宋_GB2312" w:cs="仿宋_GB2312"/>
          <w:color w:val="auto"/>
          <w:sz w:val="32"/>
          <w:szCs w:val="32"/>
          <w:highlight w:val="none"/>
          <w:lang w:val="en-US" w:eastAsia="zh-CN"/>
        </w:rPr>
      </w:pPr>
      <w:bookmarkStart w:id="1" w:name="_GoBack"/>
      <w:bookmarkEnd w:id="1"/>
      <w:r>
        <w:rPr>
          <w:rFonts w:hint="eastAsia" w:ascii="仿宋_GB2312" w:hAnsi="仿宋_GB2312" w:eastAsia="仿宋_GB2312" w:cs="仿宋_GB2312"/>
          <w:b/>
          <w:bCs/>
          <w:color w:val="auto"/>
          <w:sz w:val="32"/>
          <w:szCs w:val="32"/>
          <w:highlight w:val="none"/>
          <w:lang w:val="en-US" w:eastAsia="zh-CN"/>
        </w:rPr>
        <w:t>外宾接待支出</w:t>
      </w:r>
      <w:r>
        <w:rPr>
          <w:rFonts w:hint="eastAsia" w:ascii="仿宋_GB2312" w:hAnsi="仿宋_GB2312" w:eastAsia="仿宋_GB2312" w:cs="仿宋_GB2312"/>
          <w:color w:val="auto"/>
          <w:sz w:val="32"/>
          <w:szCs w:val="32"/>
          <w:highlight w:val="none"/>
          <w:lang w:val="en-US" w:eastAsia="zh-CN"/>
        </w:rPr>
        <w:t>0万元。2018年共接待国（境）外来访团组0个、来访外宾0人次（不包括陪同人员）。</w:t>
      </w:r>
    </w:p>
    <w:p>
      <w:pPr>
        <w:pStyle w:val="5"/>
        <w:keepNext w:val="0"/>
        <w:keepLines w:val="0"/>
        <w:pageBreakBefore w:val="0"/>
        <w:widowControl/>
        <w:numPr>
          <w:ilvl w:val="0"/>
          <w:numId w:val="0"/>
        </w:numPr>
        <w:kinsoku/>
        <w:wordWrap/>
        <w:overflowPunct/>
        <w:topLinePunct w:val="0"/>
        <w:autoSpaceDE/>
        <w:autoSpaceDN/>
        <w:bidi w:val="0"/>
        <w:adjustRightInd/>
        <w:snapToGrid/>
        <w:spacing w:line="360" w:lineRule="auto"/>
        <w:ind w:firstLine="640" w:firstLineChars="200"/>
        <w:textAlignment w:val="auto"/>
        <w:outlineLvl w:val="9"/>
        <w:rPr>
          <w:rFonts w:ascii="宋体" w:hAnsi="宋体" w:eastAsia="宋体" w:cs="宋体"/>
          <w:sz w:val="32"/>
          <w:szCs w:val="32"/>
        </w:rPr>
      </w:pPr>
    </w:p>
    <w:p>
      <w:pPr>
        <w:pStyle w:val="5"/>
        <w:keepNext w:val="0"/>
        <w:keepLines w:val="0"/>
        <w:pageBreakBefore w:val="0"/>
        <w:widowControl w:val="0"/>
        <w:kinsoku/>
        <w:wordWrap/>
        <w:overflowPunct/>
        <w:topLinePunct w:val="0"/>
        <w:autoSpaceDE w:val="0"/>
        <w:autoSpaceDN w:val="0"/>
        <w:bidi w:val="0"/>
        <w:adjustRightInd/>
        <w:snapToGrid/>
        <w:spacing w:before="185" w:line="360" w:lineRule="auto"/>
        <w:ind w:left="317" w:firstLine="640" w:firstLineChars="200"/>
        <w:textAlignment w:val="auto"/>
        <w:outlineLvl w:val="9"/>
        <w:rPr>
          <w:rFonts w:hint="eastAsia" w:eastAsia="宋体"/>
          <w:lang w:val="en-US" w:eastAsia="zh-CN"/>
        </w:rPr>
      </w:pPr>
      <w:r>
        <w:t>公务接待费支出决算比 201</w:t>
      </w:r>
      <w:r>
        <w:rPr>
          <w:rFonts w:hint="eastAsia"/>
          <w:lang w:val="en-US" w:eastAsia="zh-CN"/>
        </w:rPr>
        <w:t>7</w:t>
      </w:r>
      <w:r>
        <w:t xml:space="preserve"> 年度减少 0.</w:t>
      </w:r>
      <w:r>
        <w:rPr>
          <w:rFonts w:hint="eastAsia"/>
          <w:lang w:val="en-US" w:eastAsia="zh-CN"/>
        </w:rPr>
        <w:t>5</w:t>
      </w:r>
      <w:r>
        <w:t xml:space="preserve"> 万元，主要原因是提倡节俭，减少公务接待次数。</w:t>
      </w:r>
      <w:r>
        <w:rPr>
          <w:rFonts w:hint="eastAsia"/>
          <w:lang w:val="en-US" w:eastAsia="zh-CN"/>
        </w:rPr>
        <w:t>2018年度我单位无公务接待支出。</w:t>
      </w:r>
    </w:p>
    <w:p>
      <w:pPr>
        <w:pStyle w:val="5"/>
        <w:spacing w:before="180"/>
        <w:ind w:left="960"/>
        <w:rPr>
          <w:rFonts w:hint="eastAsia" w:ascii="黑体" w:eastAsia="黑体"/>
        </w:rPr>
      </w:pPr>
      <w:r>
        <w:rPr>
          <w:rFonts w:hint="eastAsia" w:ascii="黑体" w:eastAsia="黑体"/>
        </w:rPr>
        <w:t>八、预算绩效情况说明</w:t>
      </w:r>
    </w:p>
    <w:p>
      <w:pPr>
        <w:pStyle w:val="5"/>
        <w:spacing w:before="178"/>
        <w:ind w:left="960"/>
      </w:pPr>
      <w:r>
        <w:t>（一）绩效管理工作开展情况。</w:t>
      </w:r>
    </w:p>
    <w:p>
      <w:pPr>
        <w:pStyle w:val="5"/>
        <w:spacing w:before="35" w:line="343" w:lineRule="auto"/>
        <w:ind w:left="320" w:right="600"/>
        <w:jc w:val="both"/>
      </w:pPr>
      <w:r>
        <w:rPr>
          <w:spacing w:val="-1"/>
        </w:rPr>
        <w:t>一是着力加强对第三方参与绩效评价的质量管理。二是</w:t>
      </w:r>
      <w:r>
        <w:rPr>
          <w:spacing w:val="-12"/>
        </w:rPr>
        <w:t xml:space="preserve">根据有关要求，完善 </w:t>
      </w:r>
      <w:r>
        <w:t>2018</w:t>
      </w:r>
      <w:r>
        <w:rPr>
          <w:spacing w:val="-10"/>
        </w:rPr>
        <w:t xml:space="preserve"> 年度预算绩效管理工作考核办法，</w:t>
      </w:r>
      <w:r>
        <w:rPr>
          <w:spacing w:val="-1"/>
        </w:rPr>
        <w:t>进一步提高工作考核的科学性和有效性。三是加强项目预算执行，优化项目资金管理，促进绩效目标实现。</w:t>
      </w:r>
    </w:p>
    <w:p>
      <w:pPr>
        <w:pStyle w:val="5"/>
        <w:spacing w:before="6"/>
        <w:ind w:left="960"/>
      </w:pPr>
      <w:r>
        <w:t>（二）项目绩效自评结果。</w:t>
      </w:r>
    </w:p>
    <w:p>
      <w:pPr>
        <w:pStyle w:val="5"/>
        <w:spacing w:before="181" w:line="345" w:lineRule="auto"/>
        <w:ind w:left="320" w:right="597" w:firstLine="640"/>
        <w:jc w:val="both"/>
      </w:pPr>
      <w:r>
        <w:rPr>
          <w:spacing w:val="-2"/>
        </w:rPr>
        <w:t>一是积极落实相关文件精神，推进对政府购买服务项目</w:t>
      </w:r>
      <w:r>
        <w:rPr>
          <w:spacing w:val="-4"/>
        </w:rPr>
        <w:t>的绩效评价，并实施绩效信息公开。二是对涉及重要民生等</w:t>
      </w:r>
      <w:r>
        <w:rPr>
          <w:spacing w:val="11"/>
          <w:w w:val="95"/>
        </w:rPr>
        <w:t xml:space="preserve">项目开展重点绩效评价，进一步完善绩效评价质量管理机 </w:t>
      </w:r>
      <w:r>
        <w:rPr>
          <w:spacing w:val="-1"/>
          <w:w w:val="95"/>
        </w:rPr>
        <w:t xml:space="preserve">制。三是开展政策评价，及时反映部门履职资金的整体绩效 </w:t>
      </w:r>
      <w:r>
        <w:rPr>
          <w:spacing w:val="-1"/>
        </w:rPr>
        <w:t>和专项资金的政策绩效。</w:t>
      </w:r>
    </w:p>
    <w:p>
      <w:pPr>
        <w:pStyle w:val="5"/>
        <w:spacing w:line="408" w:lineRule="exact"/>
        <w:ind w:left="960"/>
        <w:rPr>
          <w:rFonts w:hint="eastAsia" w:ascii="黑体" w:eastAsia="黑体"/>
        </w:rPr>
      </w:pPr>
      <w:r>
        <w:rPr>
          <w:rFonts w:hint="eastAsia" w:ascii="黑体" w:eastAsia="黑体"/>
        </w:rPr>
        <w:t>九、政府性基金预算财政拨款支出决算情况说明</w:t>
      </w:r>
    </w:p>
    <w:p>
      <w:pPr>
        <w:pStyle w:val="5"/>
        <w:spacing w:before="180"/>
        <w:ind w:left="960"/>
      </w:pPr>
      <w:r>
        <w:t>201</w:t>
      </w:r>
      <w:r>
        <w:rPr>
          <w:rFonts w:hint="eastAsia"/>
          <w:lang w:val="en-US" w:eastAsia="zh-CN"/>
        </w:rPr>
        <w:t>8</w:t>
      </w:r>
      <w:r>
        <w:rPr>
          <w:spacing w:val="-10"/>
        </w:rPr>
        <w:t xml:space="preserve"> 年度政府性基金预算财政拨款支出年初预算为</w:t>
      </w:r>
      <w:r>
        <w:t>0</w:t>
      </w:r>
      <w:r>
        <w:rPr>
          <w:spacing w:val="-56"/>
        </w:rPr>
        <w:t xml:space="preserve"> 万</w:t>
      </w:r>
    </w:p>
    <w:p>
      <w:pPr>
        <w:pStyle w:val="5"/>
        <w:spacing w:before="181"/>
        <w:ind w:left="320"/>
        <w:jc w:val="both"/>
      </w:pPr>
      <w:r>
        <w:t>元，支出决算为 0 元。完成年初预算的</w:t>
      </w:r>
      <w:r>
        <w:rPr>
          <w:spacing w:val="-81"/>
        </w:rPr>
        <w:t xml:space="preserve"> </w:t>
      </w:r>
      <w:r>
        <w:rPr>
          <w:spacing w:val="2"/>
        </w:rPr>
        <w:t>0.00</w:t>
      </w:r>
      <w:r>
        <w:rPr>
          <w:spacing w:val="11"/>
          <w:w w:val="99"/>
        </w:rPr>
        <w:drawing>
          <wp:inline distT="0" distB="0" distL="114300" distR="114300">
            <wp:extent cx="85090" cy="154940"/>
            <wp:effectExtent l="0" t="0" r="10160" b="1651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6"/>
                    <a:stretch>
                      <a:fillRect/>
                    </a:stretch>
                  </pic:blipFill>
                  <pic:spPr>
                    <a:xfrm>
                      <a:off x="0" y="0"/>
                      <a:ext cx="85090" cy="154940"/>
                    </a:xfrm>
                    <a:prstGeom prst="rect">
                      <a:avLst/>
                    </a:prstGeom>
                    <a:noFill/>
                    <a:ln w="9525">
                      <a:noFill/>
                    </a:ln>
                  </pic:spPr>
                </pic:pic>
              </a:graphicData>
            </a:graphic>
          </wp:inline>
        </w:drawing>
      </w:r>
      <w:r>
        <w:t>。</w:t>
      </w:r>
    </w:p>
    <w:p>
      <w:pPr>
        <w:pStyle w:val="5"/>
        <w:spacing w:before="180"/>
        <w:ind w:left="960"/>
        <w:rPr>
          <w:rFonts w:hint="eastAsia" w:ascii="黑体" w:eastAsia="黑体"/>
        </w:rPr>
      </w:pPr>
      <w:r>
        <w:rPr>
          <w:rFonts w:hint="eastAsia" w:ascii="黑体" w:eastAsia="黑体"/>
        </w:rPr>
        <w:t>十、机关运行经费支出情况说明</w:t>
      </w:r>
    </w:p>
    <w:p>
      <w:pPr>
        <w:pStyle w:val="5"/>
        <w:spacing w:before="180"/>
        <w:ind w:left="960"/>
      </w:pPr>
      <w:r>
        <w:t>201</w:t>
      </w:r>
      <w:r>
        <w:rPr>
          <w:rFonts w:hint="eastAsia"/>
          <w:lang w:val="en-US" w:eastAsia="zh-CN"/>
        </w:rPr>
        <w:t>8</w:t>
      </w:r>
      <w:r>
        <w:t xml:space="preserve"> 年度机关运行经费支出 </w:t>
      </w:r>
      <w:r>
        <w:rPr>
          <w:rFonts w:hint="eastAsia"/>
          <w:lang w:val="en-US" w:eastAsia="zh-CN"/>
        </w:rPr>
        <w:t>41.31</w:t>
      </w:r>
      <w:r>
        <w:t>万元，较 201</w:t>
      </w:r>
      <w:r>
        <w:rPr>
          <w:rFonts w:hint="eastAsia"/>
          <w:lang w:val="en-US" w:eastAsia="zh-CN"/>
        </w:rPr>
        <w:t>7</w:t>
      </w:r>
      <w:r>
        <w:t xml:space="preserve"> 年度</w:t>
      </w:r>
    </w:p>
    <w:p>
      <w:pPr>
        <w:pStyle w:val="5"/>
        <w:spacing w:before="183" w:line="345" w:lineRule="auto"/>
        <w:ind w:left="320" w:right="597"/>
        <w:jc w:val="both"/>
      </w:pPr>
      <w:r>
        <w:rPr>
          <w:rFonts w:hint="eastAsia"/>
          <w:spacing w:val="5"/>
          <w:lang w:val="en-US" w:eastAsia="zh-CN"/>
        </w:rPr>
        <w:t>增加8.3</w:t>
      </w:r>
      <w:r>
        <w:rPr>
          <w:spacing w:val="5"/>
        </w:rPr>
        <w:t>万</w:t>
      </w:r>
      <w:r>
        <w:t>元</w:t>
      </w:r>
      <w:r>
        <w:rPr>
          <w:spacing w:val="5"/>
        </w:rPr>
        <w:t>，</w:t>
      </w:r>
      <w:r>
        <w:rPr>
          <w:rFonts w:hint="eastAsia"/>
          <w:spacing w:val="5"/>
          <w:lang w:val="en-US" w:eastAsia="zh-CN"/>
        </w:rPr>
        <w:t>增加20</w:t>
      </w:r>
      <w:r>
        <w:rPr>
          <w:spacing w:val="8"/>
          <w:w w:val="99"/>
        </w:rPr>
        <w:drawing>
          <wp:inline distT="0" distB="0" distL="0" distR="0">
            <wp:extent cx="85090" cy="154940"/>
            <wp:effectExtent l="0" t="0" r="0" b="0"/>
            <wp:docPr id="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image1.png"/>
                    <pic:cNvPicPr>
                      <a:picLocks noChangeAspect="1"/>
                    </pic:cNvPicPr>
                  </pic:nvPicPr>
                  <pic:blipFill>
                    <a:blip r:embed="rId6" cstate="print"/>
                    <a:stretch>
                      <a:fillRect/>
                    </a:stretch>
                  </pic:blipFill>
                  <pic:spPr>
                    <a:xfrm>
                      <a:off x="0" y="0"/>
                      <a:ext cx="85724" cy="155574"/>
                    </a:xfrm>
                    <a:prstGeom prst="rect">
                      <a:avLst/>
                    </a:prstGeom>
                  </pic:spPr>
                </pic:pic>
              </a:graphicData>
            </a:graphic>
          </wp:inline>
        </w:drawing>
      </w:r>
      <w:r>
        <w:rPr>
          <w:spacing w:val="5"/>
        </w:rPr>
        <w:t>。</w:t>
      </w:r>
    </w:p>
    <w:p>
      <w:pPr>
        <w:pStyle w:val="5"/>
        <w:spacing w:line="406" w:lineRule="exact"/>
        <w:ind w:left="960"/>
        <w:rPr>
          <w:rFonts w:hint="eastAsia" w:ascii="黑体" w:eastAsia="黑体"/>
        </w:rPr>
      </w:pPr>
      <w:r>
        <w:rPr>
          <w:rFonts w:hint="eastAsia" w:ascii="黑体" w:eastAsia="黑体"/>
        </w:rPr>
        <w:t>十一、政府采购支出情况说明</w:t>
      </w:r>
    </w:p>
    <w:p>
      <w:pPr>
        <w:pStyle w:val="5"/>
        <w:keepNext w:val="0"/>
        <w:keepLines w:val="0"/>
        <w:pageBreakBefore w:val="0"/>
        <w:widowControl/>
        <w:kinsoku/>
        <w:wordWrap/>
        <w:overflowPunct/>
        <w:topLinePunct w:val="0"/>
        <w:autoSpaceDE/>
        <w:autoSpaceDN/>
        <w:bidi w:val="0"/>
        <w:adjustRightInd/>
        <w:snapToGrid/>
        <w:spacing w:before="284" w:line="360" w:lineRule="auto"/>
        <w:ind w:left="960"/>
        <w:textAlignment w:val="auto"/>
        <w:outlineLvl w:val="9"/>
      </w:pPr>
      <w:r>
        <w:t>201</w:t>
      </w:r>
      <w:r>
        <w:rPr>
          <w:rFonts w:hint="eastAsia"/>
          <w:lang w:val="en-US" w:eastAsia="zh-CN"/>
        </w:rPr>
        <w:t>8</w:t>
      </w:r>
      <w:r>
        <w:t>年度政府采购支出总额</w:t>
      </w:r>
      <w:r>
        <w:rPr>
          <w:rFonts w:hint="eastAsia"/>
          <w:lang w:val="en-US" w:eastAsia="zh-CN"/>
        </w:rPr>
        <w:t>14</w:t>
      </w:r>
      <w:r>
        <w:t>万元，其中：政府采</w:t>
      </w:r>
    </w:p>
    <w:p>
      <w:pPr>
        <w:pStyle w:val="5"/>
        <w:keepNext w:val="0"/>
        <w:keepLines w:val="0"/>
        <w:pageBreakBefore w:val="0"/>
        <w:widowControl/>
        <w:kinsoku/>
        <w:wordWrap/>
        <w:overflowPunct/>
        <w:topLinePunct w:val="0"/>
        <w:autoSpaceDE/>
        <w:autoSpaceDN/>
        <w:bidi w:val="0"/>
        <w:adjustRightInd/>
        <w:snapToGrid/>
        <w:spacing w:before="39" w:line="360" w:lineRule="auto"/>
        <w:ind w:right="600"/>
        <w:textAlignment w:val="auto"/>
        <w:outlineLvl w:val="9"/>
      </w:pPr>
      <w:r>
        <w:t>购货物支出</w:t>
      </w:r>
      <w:r>
        <w:rPr>
          <w:rFonts w:hint="eastAsia"/>
          <w:lang w:val="en-US" w:eastAsia="zh-CN"/>
        </w:rPr>
        <w:t>14</w:t>
      </w:r>
      <w:r>
        <w:t>万元，政府采购工程支出0.00万元，政府采购服务支出</w:t>
      </w:r>
      <w:r>
        <w:rPr>
          <w:rFonts w:hint="eastAsia"/>
          <w:lang w:val="en-US" w:eastAsia="zh-CN"/>
        </w:rPr>
        <w:t>14</w:t>
      </w:r>
      <w:r>
        <w:t>万元。</w:t>
      </w:r>
    </w:p>
    <w:p>
      <w:pPr>
        <w:pStyle w:val="5"/>
        <w:spacing w:before="178"/>
        <w:ind w:left="960"/>
        <w:rPr>
          <w:rFonts w:hint="eastAsia" w:ascii="黑体" w:eastAsia="黑体"/>
        </w:rPr>
      </w:pPr>
      <w:r>
        <w:rPr>
          <w:rFonts w:hint="eastAsia" w:ascii="黑体" w:eastAsia="黑体"/>
        </w:rPr>
        <w:t>十二、国有资产占用情况说明</w:t>
      </w:r>
    </w:p>
    <w:p>
      <w:pPr>
        <w:pStyle w:val="5"/>
        <w:keepNext w:val="0"/>
        <w:keepLines w:val="0"/>
        <w:pageBreakBefore w:val="0"/>
        <w:widowControl w:val="0"/>
        <w:kinsoku/>
        <w:wordWrap/>
        <w:overflowPunct/>
        <w:topLinePunct w:val="0"/>
        <w:autoSpaceDE w:val="0"/>
        <w:autoSpaceDN w:val="0"/>
        <w:bidi w:val="0"/>
        <w:adjustRightInd/>
        <w:snapToGrid/>
        <w:spacing w:before="181" w:line="360" w:lineRule="auto"/>
        <w:ind w:firstLine="960" w:firstLineChars="300"/>
        <w:textAlignment w:val="auto"/>
        <w:outlineLvl w:val="9"/>
      </w:pPr>
      <w:r>
        <w:t>201</w:t>
      </w:r>
      <w:r>
        <w:rPr>
          <w:rFonts w:hint="eastAsia"/>
          <w:lang w:val="en-US" w:eastAsia="zh-CN"/>
        </w:rPr>
        <w:t>8</w:t>
      </w:r>
      <w:r>
        <w:rPr>
          <w:spacing w:val="-18"/>
        </w:rPr>
        <w:t xml:space="preserve"> 年期末，政法委共有车辆 </w:t>
      </w:r>
      <w:r>
        <w:rPr>
          <w:rFonts w:hint="eastAsia"/>
          <w:lang w:val="en-US" w:eastAsia="zh-CN"/>
        </w:rPr>
        <w:t>2</w:t>
      </w:r>
      <w:r>
        <w:rPr>
          <w:spacing w:val="-16"/>
        </w:rPr>
        <w:t xml:space="preserve"> 辆，其中：一般公务用</w:t>
      </w:r>
    </w:p>
    <w:p>
      <w:pPr>
        <w:pStyle w:val="5"/>
        <w:keepNext w:val="0"/>
        <w:keepLines w:val="0"/>
        <w:pageBreakBefore w:val="0"/>
        <w:widowControl w:val="0"/>
        <w:kinsoku/>
        <w:wordWrap/>
        <w:overflowPunct/>
        <w:topLinePunct w:val="0"/>
        <w:autoSpaceDE w:val="0"/>
        <w:autoSpaceDN w:val="0"/>
        <w:bidi w:val="0"/>
        <w:adjustRightInd/>
        <w:snapToGrid/>
        <w:spacing w:before="35" w:line="360" w:lineRule="auto"/>
        <w:ind w:left="320"/>
        <w:textAlignment w:val="auto"/>
        <w:outlineLvl w:val="9"/>
      </w:pPr>
      <w:r>
        <w:rPr>
          <w:spacing w:val="-41"/>
        </w:rPr>
        <w:t>车</w:t>
      </w:r>
      <w:r>
        <w:rPr>
          <w:rFonts w:hint="eastAsia"/>
          <w:spacing w:val="-41"/>
          <w:lang w:val="en-US" w:eastAsia="zh-CN"/>
        </w:rPr>
        <w:t>2</w:t>
      </w:r>
      <w:r>
        <w:rPr>
          <w:spacing w:val="-17"/>
        </w:rPr>
        <w:t xml:space="preserve"> 辆、一般执法执勤用车 </w:t>
      </w:r>
      <w:r>
        <w:t>0</w:t>
      </w:r>
      <w:r>
        <w:rPr>
          <w:spacing w:val="-16"/>
        </w:rPr>
        <w:t xml:space="preserve"> 辆、特种专业技术用车 </w:t>
      </w:r>
      <w:r>
        <w:t>0</w:t>
      </w:r>
      <w:r>
        <w:rPr>
          <w:spacing w:val="-28"/>
        </w:rPr>
        <w:t xml:space="preserve"> 辆，</w:t>
      </w:r>
      <w:r>
        <w:rPr>
          <w:spacing w:val="-17"/>
        </w:rPr>
        <w:t xml:space="preserve">其他用车 </w:t>
      </w:r>
      <w:r>
        <w:t>0</w:t>
      </w:r>
      <w:r>
        <w:rPr>
          <w:spacing w:val="-22"/>
        </w:rPr>
        <w:t xml:space="preserve"> 辆；单位价值 </w:t>
      </w:r>
      <w:r>
        <w:t>50</w:t>
      </w:r>
      <w:r>
        <w:rPr>
          <w:spacing w:val="-18"/>
        </w:rPr>
        <w:t xml:space="preserve"> 万元以上通用设备 </w:t>
      </w:r>
      <w:r>
        <w:t>0</w:t>
      </w:r>
      <w:r>
        <w:rPr>
          <w:spacing w:val="-42"/>
        </w:rPr>
        <w:t xml:space="preserve"> 台</w:t>
      </w:r>
      <w:r>
        <w:t>（套），单位价值 100 万元以上专用设备 0 台（套）。</w:t>
      </w:r>
    </w:p>
    <w:p>
      <w:pPr>
        <w:spacing w:after="0"/>
        <w:sectPr>
          <w:pgSz w:w="11910" w:h="16840"/>
          <w:pgMar w:top="1540" w:right="1200" w:bottom="280" w:left="1480" w:header="720" w:footer="720" w:gutter="0"/>
          <w:cols w:space="720" w:num="1"/>
        </w:sect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2"/>
        <w:tabs>
          <w:tab w:val="left" w:pos="4980"/>
        </w:tabs>
        <w:spacing w:before="188"/>
        <w:ind w:left="2100"/>
        <w:jc w:val="left"/>
      </w:pPr>
      <w:r>
        <w:t>第四部分</w:t>
      </w:r>
      <w:r>
        <w:tab/>
      </w:r>
      <w:r>
        <w:t>名词解释</w:t>
      </w:r>
    </w:p>
    <w:p>
      <w:pPr>
        <w:spacing w:after="0"/>
        <w:jc w:val="left"/>
        <w:sectPr>
          <w:pgSz w:w="11910" w:h="16840"/>
          <w:pgMar w:top="1580" w:right="1200" w:bottom="280" w:left="1480" w:header="720" w:footer="720" w:gutter="0"/>
          <w:cols w:space="720" w:num="1"/>
        </w:sectPr>
      </w:pPr>
    </w:p>
    <w:p>
      <w:pPr>
        <w:pStyle w:val="5"/>
        <w:rPr>
          <w:rFonts w:ascii="黑体"/>
          <w:sz w:val="20"/>
        </w:rPr>
      </w:pPr>
    </w:p>
    <w:p>
      <w:pPr>
        <w:pStyle w:val="5"/>
        <w:keepNext w:val="0"/>
        <w:keepLines w:val="0"/>
        <w:pageBreakBefore w:val="0"/>
        <w:widowControl w:val="0"/>
        <w:kinsoku/>
        <w:wordWrap/>
        <w:overflowPunct/>
        <w:topLinePunct w:val="0"/>
        <w:autoSpaceDE w:val="0"/>
        <w:autoSpaceDN w:val="0"/>
        <w:bidi w:val="0"/>
        <w:adjustRightInd/>
        <w:snapToGrid/>
        <w:spacing w:before="226" w:line="360" w:lineRule="auto"/>
        <w:ind w:left="108" w:right="273" w:firstLine="638"/>
        <w:textAlignment w:val="auto"/>
        <w:outlineLvl w:val="9"/>
      </w:pPr>
      <w:r>
        <w:rPr>
          <w:spacing w:val="-11"/>
        </w:rPr>
        <w:t>一、财政拨款收入：单位从同级政府财政部门取得的各类财政拨款。</w:t>
      </w:r>
    </w:p>
    <w:p>
      <w:pPr>
        <w:pStyle w:val="5"/>
        <w:keepNext w:val="0"/>
        <w:keepLines w:val="0"/>
        <w:pageBreakBefore w:val="0"/>
        <w:widowControl w:val="0"/>
        <w:kinsoku/>
        <w:wordWrap/>
        <w:overflowPunct/>
        <w:topLinePunct w:val="0"/>
        <w:autoSpaceDE w:val="0"/>
        <w:autoSpaceDN w:val="0"/>
        <w:bidi w:val="0"/>
        <w:adjustRightInd/>
        <w:snapToGrid/>
        <w:spacing w:line="360" w:lineRule="auto"/>
        <w:ind w:left="108" w:right="271" w:firstLine="638"/>
        <w:textAlignment w:val="auto"/>
        <w:outlineLvl w:val="9"/>
      </w:pPr>
      <w:r>
        <w:rPr>
          <w:spacing w:val="-12"/>
        </w:rPr>
        <w:t>二、基本支出：为保障机构正常运转、完成日常工作任务而发生的人员支出和公用支出。</w:t>
      </w:r>
    </w:p>
    <w:p>
      <w:pPr>
        <w:pStyle w:val="5"/>
        <w:keepNext w:val="0"/>
        <w:keepLines w:val="0"/>
        <w:pageBreakBefore w:val="0"/>
        <w:widowControl w:val="0"/>
        <w:kinsoku/>
        <w:wordWrap/>
        <w:overflowPunct/>
        <w:topLinePunct w:val="0"/>
        <w:autoSpaceDE w:val="0"/>
        <w:autoSpaceDN w:val="0"/>
        <w:bidi w:val="0"/>
        <w:adjustRightInd/>
        <w:snapToGrid/>
        <w:spacing w:before="6" w:line="360" w:lineRule="auto"/>
        <w:ind w:left="108" w:right="275" w:firstLine="638"/>
        <w:textAlignment w:val="auto"/>
        <w:outlineLvl w:val="9"/>
      </w:pPr>
      <w:r>
        <w:rPr>
          <w:spacing w:val="-11"/>
        </w:rPr>
        <w:t>三、项目支出：基本支出之外为完成特定行政任务和事业发展目标所发生的支出。</w:t>
      </w:r>
    </w:p>
    <w:p>
      <w:pPr>
        <w:pStyle w:val="5"/>
        <w:keepNext w:val="0"/>
        <w:keepLines w:val="0"/>
        <w:pageBreakBefore w:val="0"/>
        <w:widowControl w:val="0"/>
        <w:kinsoku/>
        <w:wordWrap/>
        <w:overflowPunct/>
        <w:topLinePunct w:val="0"/>
        <w:autoSpaceDE w:val="0"/>
        <w:autoSpaceDN w:val="0"/>
        <w:bidi w:val="0"/>
        <w:adjustRightInd/>
        <w:snapToGrid/>
        <w:spacing w:line="360" w:lineRule="auto"/>
        <w:ind w:left="108" w:right="114" w:firstLine="638"/>
        <w:textAlignment w:val="auto"/>
        <w:outlineLvl w:val="9"/>
      </w:pPr>
      <w:r>
        <w:rPr>
          <w:spacing w:val="-19"/>
          <w:w w:val="95"/>
        </w:rPr>
        <w:t xml:space="preserve">四、“三公”经费：纳入同级财政预决算管理“三公”经费， </w:t>
      </w:r>
      <w:r>
        <w:rPr>
          <w:spacing w:val="-21"/>
        </w:rPr>
        <w:t>指部门使用财政拨款安排的因公出国</w:t>
      </w:r>
      <w:r>
        <w:t>（境</w:t>
      </w:r>
      <w:r>
        <w:rPr>
          <w:spacing w:val="-39"/>
        </w:rPr>
        <w:t>）</w:t>
      </w:r>
      <w:r>
        <w:rPr>
          <w:spacing w:val="-7"/>
        </w:rPr>
        <w:t>费、公务用车购置及</w:t>
      </w:r>
      <w:r>
        <w:rPr>
          <w:spacing w:val="-13"/>
        </w:rPr>
        <w:t>运行费和公务接待费。其中，因公出国</w:t>
      </w:r>
      <w:r>
        <w:t>（境</w:t>
      </w:r>
      <w:r>
        <w:rPr>
          <w:spacing w:val="-29"/>
        </w:rPr>
        <w:t>）</w:t>
      </w:r>
      <w:r>
        <w:t>费反映单位公务出</w:t>
      </w:r>
      <w:r>
        <w:rPr>
          <w:spacing w:val="-19"/>
        </w:rPr>
        <w:t>国</w:t>
      </w:r>
      <w:r>
        <w:t>（境</w:t>
      </w:r>
      <w:r>
        <w:rPr>
          <w:spacing w:val="-17"/>
        </w:rPr>
        <w:t>）</w:t>
      </w:r>
      <w:r>
        <w:rPr>
          <w:spacing w:val="-7"/>
        </w:rPr>
        <w:t>的国际旅费、国外城市间交通费、住宿费、伙食费、培</w:t>
      </w:r>
      <w:r>
        <w:rPr>
          <w:spacing w:val="-12"/>
        </w:rPr>
        <w:t>训费、公杂费等支出；公务用车购置及运行费反映反映单位公务</w:t>
      </w:r>
      <w:r>
        <w:rPr>
          <w:spacing w:val="-19"/>
          <w:w w:val="95"/>
        </w:rPr>
        <w:t>用车车辆购置支出</w:t>
      </w:r>
      <w:r>
        <w:rPr>
          <w:w w:val="95"/>
        </w:rPr>
        <w:t>（含车辆购置税</w:t>
      </w:r>
      <w:r>
        <w:rPr>
          <w:spacing w:val="-70"/>
          <w:w w:val="95"/>
        </w:rPr>
        <w:t>）</w:t>
      </w:r>
      <w:r>
        <w:rPr>
          <w:spacing w:val="-13"/>
          <w:w w:val="95"/>
        </w:rPr>
        <w:t xml:space="preserve">及租用费、燃料费、维修费、 </w:t>
      </w:r>
      <w:r>
        <w:rPr>
          <w:spacing w:val="-15"/>
        </w:rPr>
        <w:t>过路过桥费、保险费、安全奖励费用等支出；公务接待费反映单位按规定开支的各类公务接待（含外宾接待）支出。</w:t>
      </w:r>
    </w:p>
    <w:p>
      <w:pPr>
        <w:pStyle w:val="5"/>
        <w:keepNext w:val="0"/>
        <w:keepLines w:val="0"/>
        <w:pageBreakBefore w:val="0"/>
        <w:widowControl w:val="0"/>
        <w:kinsoku/>
        <w:wordWrap/>
        <w:overflowPunct/>
        <w:topLinePunct w:val="0"/>
        <w:autoSpaceDE w:val="0"/>
        <w:autoSpaceDN w:val="0"/>
        <w:bidi w:val="0"/>
        <w:adjustRightInd/>
        <w:snapToGrid/>
        <w:spacing w:line="360" w:lineRule="auto"/>
        <w:ind w:left="108" w:right="271" w:firstLine="638"/>
        <w:jc w:val="both"/>
        <w:textAlignment w:val="auto"/>
        <w:outlineLvl w:val="9"/>
      </w:pPr>
      <w:r>
        <w:rPr>
          <w:spacing w:val="-12"/>
        </w:rPr>
        <w:t>五、机关运行经费：为保障行政单位</w:t>
      </w:r>
      <w:r>
        <w:t>（含参照公务员法管理的事业单位</w:t>
      </w:r>
      <w:r>
        <w:rPr>
          <w:spacing w:val="-58"/>
        </w:rPr>
        <w:t>）</w:t>
      </w:r>
      <w:r>
        <w:rPr>
          <w:spacing w:val="-4"/>
        </w:rPr>
        <w:t>运行用于购买货物和服务的各项资金，包括办公及</w:t>
      </w:r>
      <w:r>
        <w:rPr>
          <w:spacing w:val="-12"/>
          <w:w w:val="95"/>
        </w:rPr>
        <w:t xml:space="preserve">印刷费、邮电费、差旅费、会议费、福利费、日常维修费、专用 </w:t>
      </w:r>
      <w:r>
        <w:rPr>
          <w:spacing w:val="-16"/>
        </w:rPr>
        <w:t>材料及一般设备购置费、办公用房水电费、办公用房取暖费、办公用房物业管理费、公务用车运行维护费以及其他费用。</w:t>
      </w:r>
    </w:p>
    <w:p>
      <w:pPr>
        <w:pStyle w:val="5"/>
        <w:keepNext w:val="0"/>
        <w:keepLines w:val="0"/>
        <w:pageBreakBefore w:val="0"/>
        <w:widowControl w:val="0"/>
        <w:kinsoku/>
        <w:wordWrap/>
        <w:overflowPunct/>
        <w:topLinePunct w:val="0"/>
        <w:autoSpaceDE w:val="0"/>
        <w:autoSpaceDN w:val="0"/>
        <w:bidi w:val="0"/>
        <w:adjustRightInd/>
        <w:snapToGrid/>
        <w:spacing w:line="360" w:lineRule="auto"/>
        <w:ind w:left="108" w:right="273" w:firstLine="638"/>
        <w:textAlignment w:val="auto"/>
        <w:outlineLvl w:val="9"/>
      </w:pPr>
      <w:r>
        <w:rPr>
          <w:spacing w:val="-11"/>
        </w:rPr>
        <w:t>六、工资福利支出：单位支付给在职职工和编制外长期聘用人员的各类劳动报酬，以及为上述人员缴纳的各项社会保险费等。</w:t>
      </w:r>
    </w:p>
    <w:p>
      <w:pPr>
        <w:keepNext w:val="0"/>
        <w:keepLines w:val="0"/>
        <w:pageBreakBefore w:val="0"/>
        <w:widowControl w:val="0"/>
        <w:kinsoku/>
        <w:wordWrap/>
        <w:overflowPunct/>
        <w:topLinePunct w:val="0"/>
        <w:autoSpaceDE w:val="0"/>
        <w:autoSpaceDN w:val="0"/>
        <w:bidi w:val="0"/>
        <w:adjustRightInd/>
        <w:snapToGrid/>
        <w:spacing w:after="0" w:line="360" w:lineRule="auto"/>
        <w:textAlignment w:val="auto"/>
        <w:outlineLvl w:val="9"/>
        <w:sectPr>
          <w:pgSz w:w="11910" w:h="16840"/>
          <w:pgMar w:top="1580" w:right="1200" w:bottom="280" w:left="1480" w:header="720" w:footer="720" w:gutter="0"/>
          <w:cols w:space="720" w:num="1"/>
        </w:sectPr>
      </w:pPr>
    </w:p>
    <w:p>
      <w:pPr>
        <w:pStyle w:val="5"/>
        <w:keepNext w:val="0"/>
        <w:keepLines w:val="0"/>
        <w:pageBreakBefore w:val="0"/>
        <w:widowControl w:val="0"/>
        <w:kinsoku/>
        <w:wordWrap/>
        <w:overflowPunct/>
        <w:topLinePunct w:val="0"/>
        <w:autoSpaceDE w:val="0"/>
        <w:autoSpaceDN w:val="0"/>
        <w:bidi w:val="0"/>
        <w:adjustRightInd/>
        <w:snapToGrid/>
        <w:spacing w:line="360" w:lineRule="auto"/>
        <w:textAlignment w:val="auto"/>
        <w:outlineLvl w:val="9"/>
        <w:rPr>
          <w:sz w:val="20"/>
        </w:rPr>
      </w:pPr>
    </w:p>
    <w:p>
      <w:pPr>
        <w:pStyle w:val="5"/>
        <w:keepNext w:val="0"/>
        <w:keepLines w:val="0"/>
        <w:pageBreakBefore w:val="0"/>
        <w:widowControl w:val="0"/>
        <w:kinsoku/>
        <w:wordWrap/>
        <w:overflowPunct/>
        <w:topLinePunct w:val="0"/>
        <w:autoSpaceDE w:val="0"/>
        <w:autoSpaceDN w:val="0"/>
        <w:bidi w:val="0"/>
        <w:adjustRightInd/>
        <w:snapToGrid/>
        <w:spacing w:before="226" w:line="360" w:lineRule="auto"/>
        <w:ind w:left="747"/>
        <w:textAlignment w:val="auto"/>
        <w:outlineLvl w:val="9"/>
      </w:pPr>
      <w:r>
        <w:t>七、商品和服务支出：单位购买商品和服务的支出。</w:t>
      </w:r>
    </w:p>
    <w:p>
      <w:pPr>
        <w:pStyle w:val="5"/>
        <w:keepNext w:val="0"/>
        <w:keepLines w:val="0"/>
        <w:pageBreakBefore w:val="0"/>
        <w:widowControl w:val="0"/>
        <w:kinsoku/>
        <w:wordWrap/>
        <w:overflowPunct/>
        <w:topLinePunct w:val="0"/>
        <w:autoSpaceDE w:val="0"/>
        <w:autoSpaceDN w:val="0"/>
        <w:bidi w:val="0"/>
        <w:adjustRightInd/>
        <w:snapToGrid/>
        <w:spacing w:before="181" w:line="360" w:lineRule="auto"/>
        <w:ind w:left="108" w:right="271" w:firstLine="638"/>
        <w:textAlignment w:val="auto"/>
        <w:outlineLvl w:val="9"/>
      </w:pPr>
      <w:r>
        <w:rPr>
          <w:spacing w:val="-12"/>
        </w:rPr>
        <w:t>八、对个人和家庭的补助支出：单位用于对个人和家庭的补助支出。</w:t>
      </w:r>
    </w:p>
    <w:sectPr>
      <w:pgSz w:w="11910" w:h="16840"/>
      <w:pgMar w:top="1580" w:right="1200" w:bottom="280" w:left="148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Microsoft JhengHei">
    <w:panose1 w:val="020B0604030504040204"/>
    <w:charset w:val="88"/>
    <w:family w:val="swiss"/>
    <w:pitch w:val="default"/>
    <w:sig w:usb0="00000087" w:usb1="28AF4000" w:usb2="00000016" w:usb3="00000000" w:csb0="00100009"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53208E"/>
    <w:multiLevelType w:val="multilevel"/>
    <w:tmpl w:val="0053208E"/>
    <w:lvl w:ilvl="0" w:tentative="0">
      <w:start w:val="1"/>
      <w:numFmt w:val="decimal"/>
      <w:lvlText w:val="%1."/>
      <w:lvlJc w:val="left"/>
      <w:pPr>
        <w:ind w:left="1452" w:hanging="492"/>
        <w:jc w:val="left"/>
      </w:pPr>
      <w:rPr>
        <w:rFonts w:hint="default" w:ascii="宋体" w:hAnsi="宋体" w:eastAsia="宋体" w:cs="宋体"/>
        <w:spacing w:val="6"/>
        <w:w w:val="99"/>
        <w:sz w:val="30"/>
        <w:szCs w:val="30"/>
        <w:lang w:val="zh-CN" w:eastAsia="zh-CN" w:bidi="zh-CN"/>
      </w:rPr>
    </w:lvl>
    <w:lvl w:ilvl="1" w:tentative="0">
      <w:start w:val="0"/>
      <w:numFmt w:val="bullet"/>
      <w:lvlText w:val="•"/>
      <w:lvlJc w:val="left"/>
      <w:pPr>
        <w:ind w:left="2236" w:hanging="492"/>
      </w:pPr>
      <w:rPr>
        <w:rFonts w:hint="default"/>
        <w:lang w:val="zh-CN" w:eastAsia="zh-CN" w:bidi="zh-CN"/>
      </w:rPr>
    </w:lvl>
    <w:lvl w:ilvl="2" w:tentative="0">
      <w:start w:val="0"/>
      <w:numFmt w:val="bullet"/>
      <w:lvlText w:val="•"/>
      <w:lvlJc w:val="left"/>
      <w:pPr>
        <w:ind w:left="3013" w:hanging="492"/>
      </w:pPr>
      <w:rPr>
        <w:rFonts w:hint="default"/>
        <w:lang w:val="zh-CN" w:eastAsia="zh-CN" w:bidi="zh-CN"/>
      </w:rPr>
    </w:lvl>
    <w:lvl w:ilvl="3" w:tentative="0">
      <w:start w:val="0"/>
      <w:numFmt w:val="bullet"/>
      <w:lvlText w:val="•"/>
      <w:lvlJc w:val="left"/>
      <w:pPr>
        <w:ind w:left="3789" w:hanging="492"/>
      </w:pPr>
      <w:rPr>
        <w:rFonts w:hint="default"/>
        <w:lang w:val="zh-CN" w:eastAsia="zh-CN" w:bidi="zh-CN"/>
      </w:rPr>
    </w:lvl>
    <w:lvl w:ilvl="4" w:tentative="0">
      <w:start w:val="0"/>
      <w:numFmt w:val="bullet"/>
      <w:lvlText w:val="•"/>
      <w:lvlJc w:val="left"/>
      <w:pPr>
        <w:ind w:left="4566" w:hanging="492"/>
      </w:pPr>
      <w:rPr>
        <w:rFonts w:hint="default"/>
        <w:lang w:val="zh-CN" w:eastAsia="zh-CN" w:bidi="zh-CN"/>
      </w:rPr>
    </w:lvl>
    <w:lvl w:ilvl="5" w:tentative="0">
      <w:start w:val="0"/>
      <w:numFmt w:val="bullet"/>
      <w:lvlText w:val="•"/>
      <w:lvlJc w:val="left"/>
      <w:pPr>
        <w:ind w:left="5343" w:hanging="492"/>
      </w:pPr>
      <w:rPr>
        <w:rFonts w:hint="default"/>
        <w:lang w:val="zh-CN" w:eastAsia="zh-CN" w:bidi="zh-CN"/>
      </w:rPr>
    </w:lvl>
    <w:lvl w:ilvl="6" w:tentative="0">
      <w:start w:val="0"/>
      <w:numFmt w:val="bullet"/>
      <w:lvlText w:val="•"/>
      <w:lvlJc w:val="left"/>
      <w:pPr>
        <w:ind w:left="6119" w:hanging="492"/>
      </w:pPr>
      <w:rPr>
        <w:rFonts w:hint="default"/>
        <w:lang w:val="zh-CN" w:eastAsia="zh-CN" w:bidi="zh-CN"/>
      </w:rPr>
    </w:lvl>
    <w:lvl w:ilvl="7" w:tentative="0">
      <w:start w:val="0"/>
      <w:numFmt w:val="bullet"/>
      <w:lvlText w:val="•"/>
      <w:lvlJc w:val="left"/>
      <w:pPr>
        <w:ind w:left="6896" w:hanging="492"/>
      </w:pPr>
      <w:rPr>
        <w:rFonts w:hint="default"/>
        <w:lang w:val="zh-CN" w:eastAsia="zh-CN" w:bidi="zh-CN"/>
      </w:rPr>
    </w:lvl>
    <w:lvl w:ilvl="8" w:tentative="0">
      <w:start w:val="0"/>
      <w:numFmt w:val="bullet"/>
      <w:lvlText w:val="•"/>
      <w:lvlJc w:val="left"/>
      <w:pPr>
        <w:ind w:left="7672" w:hanging="492"/>
      </w:pPr>
      <w:rPr>
        <w:rFonts w:hint="default"/>
        <w:lang w:val="zh-CN" w:eastAsia="zh-CN" w:bidi="zh-C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footnotePr>
    <w:footnote w:id="0"/>
    <w:footnote w:id="1"/>
  </w:footnotePr>
  <w:endnotePr>
    <w:endnote w:id="0"/>
    <w:endnote w:id="1"/>
  </w:endnotePr>
  <w:compat>
    <w:ulTrailSpace/>
    <w:doNotExpandShiftReturn/>
    <w:doNotWrapTextWithPunct/>
    <w:doNotUseEastAsianBreakRules/>
    <w:useFELayout/>
    <w:doNotUseIndentAsNumberingTabStop/>
    <w:useAltKinsokuLineBreakRules/>
    <w:compatSetting w:name="compatibilityMode" w:uri="http://schemas.microsoft.com/office/word" w:val="12"/>
  </w:compat>
  <w:rsids>
    <w:rsidRoot w:val="00000000"/>
    <w:rsid w:val="0BE6088C"/>
    <w:rsid w:val="1E460C46"/>
    <w:rsid w:val="219770D6"/>
    <w:rsid w:val="2CF96DD4"/>
    <w:rsid w:val="33C54C06"/>
    <w:rsid w:val="341961D0"/>
    <w:rsid w:val="399D48BE"/>
    <w:rsid w:val="3BEB4E36"/>
    <w:rsid w:val="4EFC333E"/>
    <w:rsid w:val="586B4FE2"/>
    <w:rsid w:val="5E761E45"/>
    <w:rsid w:val="63726607"/>
    <w:rsid w:val="69197E93"/>
    <w:rsid w:val="6D6B5C9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Calibr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spacing w:before="32"/>
      <w:ind w:left="58"/>
      <w:jc w:val="center"/>
      <w:outlineLvl w:val="1"/>
    </w:pPr>
    <w:rPr>
      <w:rFonts w:ascii="黑体" w:hAnsi="黑体" w:eastAsia="黑体" w:cs="黑体"/>
      <w:sz w:val="48"/>
      <w:szCs w:val="48"/>
      <w:lang w:val="zh-CN" w:eastAsia="zh-CN" w:bidi="zh-CN"/>
    </w:rPr>
  </w:style>
  <w:style w:type="paragraph" w:styleId="3">
    <w:name w:val="heading 2"/>
    <w:basedOn w:val="1"/>
    <w:next w:val="1"/>
    <w:qFormat/>
    <w:uiPriority w:val="1"/>
    <w:pPr>
      <w:ind w:left="960"/>
      <w:outlineLvl w:val="2"/>
    </w:pPr>
    <w:rPr>
      <w:rFonts w:ascii="Microsoft JhengHei" w:hAnsi="Microsoft JhengHei" w:eastAsia="Microsoft JhengHei" w:cs="Microsoft JhengHei"/>
      <w:b/>
      <w:bCs/>
      <w:sz w:val="32"/>
      <w:szCs w:val="32"/>
      <w:lang w:val="zh-CN" w:eastAsia="zh-CN" w:bidi="zh-CN"/>
    </w:rPr>
  </w:style>
  <w:style w:type="paragraph" w:styleId="4">
    <w:name w:val="heading 3"/>
    <w:basedOn w:val="1"/>
    <w:next w:val="1"/>
    <w:semiHidden/>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7">
    <w:name w:val="Default Paragraph Font"/>
    <w:semiHidden/>
    <w:unhideWhenUsed/>
    <w:qFormat/>
    <w:uiPriority w:val="1"/>
  </w:style>
  <w:style w:type="table" w:default="1" w:styleId="6">
    <w:name w:val="Normal Table"/>
    <w:semiHidden/>
    <w:qFormat/>
    <w:uiPriority w:val="0"/>
    <w:tblPr>
      <w:tblCellMar>
        <w:top w:w="0" w:type="dxa"/>
        <w:left w:w="108" w:type="dxa"/>
        <w:bottom w:w="0" w:type="dxa"/>
        <w:right w:w="108" w:type="dxa"/>
      </w:tblCellMar>
    </w:tblPr>
  </w:style>
  <w:style w:type="paragraph" w:styleId="5">
    <w:name w:val="Body Text"/>
    <w:basedOn w:val="1"/>
    <w:qFormat/>
    <w:uiPriority w:val="1"/>
    <w:rPr>
      <w:rFonts w:ascii="宋体" w:hAnsi="宋体" w:eastAsia="宋体" w:cs="宋体"/>
      <w:sz w:val="32"/>
      <w:szCs w:val="32"/>
      <w:lang w:val="zh-CN" w:eastAsia="zh-CN" w:bidi="zh-CN"/>
    </w:rPr>
  </w:style>
  <w:style w:type="table" w:customStyle="1" w:styleId="8">
    <w:name w:val="Table Normal"/>
    <w:semiHidden/>
    <w:unhideWhenUsed/>
    <w:qFormat/>
    <w:uiPriority w:val="2"/>
    <w:tblPr>
      <w:tblCellMar>
        <w:top w:w="0" w:type="dxa"/>
        <w:left w:w="0" w:type="dxa"/>
        <w:bottom w:w="0" w:type="dxa"/>
        <w:right w:w="0" w:type="dxa"/>
      </w:tblCellMar>
    </w:tblPr>
  </w:style>
  <w:style w:type="paragraph" w:styleId="9">
    <w:name w:val="List Paragraph"/>
    <w:basedOn w:val="1"/>
    <w:qFormat/>
    <w:uiPriority w:val="1"/>
    <w:pPr>
      <w:spacing w:before="3"/>
      <w:ind w:left="1282" w:hanging="492"/>
    </w:pPr>
    <w:rPr>
      <w:rFonts w:ascii="宋体" w:hAnsi="宋体" w:eastAsia="宋体" w:cs="宋体"/>
      <w:lang w:val="zh-CN" w:eastAsia="zh-CN" w:bidi="zh-CN"/>
    </w:rPr>
  </w:style>
  <w:style w:type="paragraph" w:customStyle="1" w:styleId="10">
    <w:name w:val="Table Paragraph"/>
    <w:basedOn w:val="1"/>
    <w:qFormat/>
    <w:uiPriority w:val="1"/>
    <w:pPr>
      <w:spacing w:before="43"/>
    </w:pPr>
    <w:rPr>
      <w:rFonts w:ascii="宋体" w:hAnsi="宋体" w:eastAsia="宋体" w:cs="宋体"/>
      <w:lang w:val="zh-CN" w:eastAsia="zh-CN" w:bidi="zh-CN"/>
    </w:rPr>
  </w:style>
  <w:style w:type="paragraph" w:customStyle="1" w:styleId="11">
    <w:name w:val="Normal (Web)"/>
    <w:basedOn w:val="1"/>
    <w:qFormat/>
    <w:uiPriority w:val="0"/>
    <w:pPr>
      <w:widowControl/>
      <w:spacing w:before="100" w:beforeLines="0" w:beforeAutospacing="1" w:after="100" w:afterLines="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ScaleCrop>false</ScaleCrop>
  <LinksUpToDate>false</LinksUpToDate>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2018-11-05T03:21:00Z</dcterms:created>
  <dc:creator>管理者</dc:creator>
  <cp:lastModifiedBy>Administrator</cp:lastModifiedBy>
  <dcterms:modified xsi:type="dcterms:W3CDTF">2021-06-09T10:46:13Z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2018-10-19T00:00:00Z</vt:filetime>
  </property>
  <property fmtid="{D5CDD505-2E9C-101B-9397-08002B2CF9AE}" pid="3" name="Creator">
    <vt:lpwstr>WPS 文字</vt:lpwstr>
  </property>
  <property fmtid="{D5CDD505-2E9C-101B-9397-08002B2CF9AE}" pid="4" name="LastSaved">
    <vt:filetime>2018-11-05T00:00:00Z</vt:filetime>
  </property>
  <property fmtid="{D5CDD505-2E9C-101B-9397-08002B2CF9AE}" pid="5" name="KSOProductBuildVer">
    <vt:lpwstr>2052-11.1.0.10577</vt:lpwstr>
  </property>
  <property fmtid="{D5CDD505-2E9C-101B-9397-08002B2CF9AE}" pid="6" name="ICV">
    <vt:lpwstr>EC35B57EA9DE468096A8665B1383BAEC</vt:lpwstr>
  </property>
</Properties>
</file>