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3" w:lineRule="exact"/>
        <w:rPr>
          <w:rFonts w:ascii="Times New Roman" w:hAnsi="Times New Roman" w:eastAsia="Times New Roman"/>
          <w:sz w:val="24"/>
        </w:rPr>
      </w:pPr>
    </w:p>
    <w:p>
      <w:pPr>
        <w:spacing w:line="239" w:lineRule="auto"/>
        <w:ind w:firstLine="1560" w:firstLineChars="300"/>
        <w:jc w:val="both"/>
        <w:rPr>
          <w:rFonts w:hint="eastAsia" w:ascii="黑体" w:hAnsi="黑体" w:eastAsia="黑体" w:cs="黑体"/>
          <w:b w:val="0"/>
          <w:bCs w:val="0"/>
          <w:sz w:val="52"/>
          <w:szCs w:val="52"/>
        </w:rPr>
      </w:pPr>
    </w:p>
    <w:p>
      <w:pPr>
        <w:spacing w:line="239" w:lineRule="auto"/>
        <w:ind w:firstLine="1560" w:firstLineChars="300"/>
        <w:jc w:val="both"/>
        <w:rPr>
          <w:rFonts w:hint="eastAsia" w:ascii="黑体" w:hAnsi="黑体" w:eastAsia="黑体" w:cs="黑体"/>
          <w:b w:val="0"/>
          <w:bCs w:val="0"/>
          <w:sz w:val="52"/>
          <w:szCs w:val="52"/>
        </w:rPr>
      </w:pPr>
    </w:p>
    <w:p>
      <w:pPr>
        <w:spacing w:line="239" w:lineRule="auto"/>
        <w:ind w:firstLine="1560" w:firstLineChars="300"/>
        <w:jc w:val="both"/>
        <w:rPr>
          <w:rFonts w:hint="eastAsia" w:ascii="黑体" w:hAnsi="黑体" w:eastAsia="黑体" w:cs="黑体"/>
          <w:b w:val="0"/>
          <w:bCs w:val="0"/>
          <w:sz w:val="52"/>
          <w:szCs w:val="52"/>
        </w:rPr>
      </w:pPr>
    </w:p>
    <w:p>
      <w:pPr>
        <w:spacing w:line="239" w:lineRule="auto"/>
        <w:ind w:firstLine="1560" w:firstLineChars="300"/>
        <w:jc w:val="both"/>
        <w:rPr>
          <w:rFonts w:hint="eastAsia" w:ascii="黑体" w:hAnsi="黑体" w:eastAsia="黑体" w:cs="黑体"/>
          <w:b w:val="0"/>
          <w:bCs w:val="0"/>
          <w:sz w:val="52"/>
          <w:szCs w:val="52"/>
        </w:rPr>
      </w:pPr>
    </w:p>
    <w:p>
      <w:pPr>
        <w:spacing w:line="239" w:lineRule="auto"/>
        <w:ind w:firstLine="1560" w:firstLineChars="300"/>
        <w:jc w:val="both"/>
        <w:rPr>
          <w:rFonts w:hint="eastAsia" w:ascii="黑体" w:hAnsi="黑体" w:eastAsia="黑体" w:cs="黑体"/>
          <w:b w:val="0"/>
          <w:bCs w:val="0"/>
          <w:sz w:val="52"/>
          <w:szCs w:val="52"/>
          <w:lang w:eastAsia="zh-CN"/>
        </w:rPr>
      </w:pPr>
      <w:r>
        <w:rPr>
          <w:rFonts w:hint="eastAsia" w:ascii="黑体" w:hAnsi="黑体" w:eastAsia="黑体" w:cs="黑体"/>
          <w:b w:val="0"/>
          <w:bCs w:val="0"/>
          <w:sz w:val="52"/>
          <w:szCs w:val="52"/>
        </w:rPr>
        <w:t>濮阳县</w:t>
      </w:r>
      <w:r>
        <w:rPr>
          <w:rFonts w:hint="eastAsia" w:ascii="黑体" w:hAnsi="黑体" w:eastAsia="黑体" w:cs="黑体"/>
          <w:b w:val="0"/>
          <w:bCs w:val="0"/>
          <w:sz w:val="52"/>
          <w:szCs w:val="52"/>
          <w:lang w:eastAsia="zh-CN"/>
        </w:rPr>
        <w:t>国土资源局</w:t>
      </w:r>
    </w:p>
    <w:p>
      <w:pPr>
        <w:spacing w:line="200" w:lineRule="exact"/>
        <w:jc w:val="center"/>
        <w:rPr>
          <w:rFonts w:hint="eastAsia" w:ascii="黑体" w:hAnsi="黑体" w:eastAsia="黑体" w:cs="黑体"/>
          <w:b w:val="0"/>
          <w:bCs w:val="0"/>
          <w:sz w:val="52"/>
          <w:szCs w:val="52"/>
        </w:rPr>
      </w:pPr>
    </w:p>
    <w:p>
      <w:pPr>
        <w:spacing w:line="0" w:lineRule="atLeast"/>
        <w:ind w:firstLine="1040" w:firstLineChars="200"/>
        <w:jc w:val="center"/>
        <w:rPr>
          <w:rFonts w:hint="eastAsia" w:ascii="黑体" w:hAnsi="黑体" w:eastAsia="黑体" w:cs="黑体"/>
          <w:b w:val="0"/>
          <w:bCs w:val="0"/>
          <w:sz w:val="52"/>
          <w:szCs w:val="52"/>
        </w:rPr>
      </w:pPr>
      <w:r>
        <w:rPr>
          <w:rFonts w:hint="eastAsia" w:ascii="黑体" w:hAnsi="黑体" w:eastAsia="黑体" w:cs="黑体"/>
          <w:b w:val="0"/>
          <w:bCs w:val="0"/>
          <w:sz w:val="52"/>
          <w:szCs w:val="52"/>
        </w:rPr>
        <w:t>201</w:t>
      </w:r>
      <w:r>
        <w:rPr>
          <w:rFonts w:hint="eastAsia" w:ascii="黑体" w:hAnsi="黑体" w:eastAsia="黑体" w:cs="黑体"/>
          <w:b w:val="0"/>
          <w:bCs w:val="0"/>
          <w:sz w:val="52"/>
          <w:szCs w:val="52"/>
          <w:lang w:val="en-US" w:eastAsia="zh-CN"/>
        </w:rPr>
        <w:t>9</w:t>
      </w:r>
      <w:r>
        <w:rPr>
          <w:rFonts w:hint="eastAsia" w:ascii="黑体" w:hAnsi="黑体" w:eastAsia="黑体" w:cs="黑体"/>
          <w:b w:val="0"/>
          <w:bCs w:val="0"/>
          <w:sz w:val="52"/>
          <w:szCs w:val="52"/>
        </w:rPr>
        <w:t>年度部门决算</w:t>
      </w:r>
    </w:p>
    <w:p>
      <w:pPr>
        <w:spacing w:line="0" w:lineRule="atLeast"/>
        <w:jc w:val="center"/>
        <w:rPr>
          <w:rFonts w:ascii="微软雅黑" w:hAnsi="微软雅黑" w:eastAsia="微软雅黑"/>
          <w:sz w:val="51"/>
        </w:rPr>
      </w:pPr>
    </w:p>
    <w:p>
      <w:pPr>
        <w:spacing w:line="0" w:lineRule="atLeast"/>
        <w:rPr>
          <w:rFonts w:ascii="微软雅黑" w:hAnsi="微软雅黑" w:eastAsia="微软雅黑"/>
          <w:sz w:val="51"/>
        </w:rPr>
      </w:pPr>
    </w:p>
    <w:p>
      <w:pPr>
        <w:spacing w:line="0" w:lineRule="atLeast"/>
        <w:rPr>
          <w:rFonts w:ascii="微软雅黑" w:hAnsi="微软雅黑" w:eastAsia="微软雅黑"/>
          <w:sz w:val="51"/>
        </w:rPr>
      </w:pPr>
    </w:p>
    <w:p>
      <w:pPr>
        <w:spacing w:line="0" w:lineRule="atLeast"/>
        <w:rPr>
          <w:rFonts w:ascii="微软雅黑" w:hAnsi="微软雅黑" w:eastAsia="微软雅黑"/>
          <w:sz w:val="51"/>
        </w:rPr>
      </w:pPr>
    </w:p>
    <w:p>
      <w:pPr>
        <w:spacing w:line="0" w:lineRule="atLeast"/>
        <w:rPr>
          <w:rFonts w:ascii="微软雅黑" w:hAnsi="微软雅黑" w:eastAsia="微软雅黑"/>
          <w:sz w:val="51"/>
        </w:rPr>
      </w:pPr>
    </w:p>
    <w:p>
      <w:pPr>
        <w:spacing w:line="0" w:lineRule="atLeast"/>
        <w:rPr>
          <w:rFonts w:ascii="微软雅黑" w:hAnsi="微软雅黑" w:eastAsia="微软雅黑"/>
          <w:sz w:val="51"/>
        </w:rPr>
      </w:pPr>
    </w:p>
    <w:p>
      <w:pPr>
        <w:spacing w:line="0" w:lineRule="atLeast"/>
        <w:ind w:firstLine="2240" w:firstLineChars="700"/>
        <w:rPr>
          <w:rFonts w:hint="eastAsia" w:ascii="黑体" w:hAnsi="黑体" w:eastAsia="黑体" w:cs="黑体"/>
          <w:sz w:val="32"/>
          <w:szCs w:val="32"/>
          <w:lang w:val="en-US" w:eastAsia="zh-CN"/>
        </w:rPr>
        <w:sectPr>
          <w:footerReference r:id="rId3" w:type="default"/>
          <w:pgSz w:w="11900" w:h="16838"/>
          <w:pgMar w:top="1440" w:right="2835" w:bottom="1440" w:left="2835" w:header="0" w:footer="0" w:gutter="0"/>
          <w:pgNumType w:fmt="decimal"/>
          <w:cols w:space="720" w:num="1"/>
          <w:docGrid w:linePitch="360" w:charSpace="0"/>
        </w:sectPr>
      </w:pPr>
      <w:r>
        <w:rPr>
          <w:rFonts w:hint="eastAsia" w:ascii="黑体" w:hAnsi="黑体" w:eastAsia="黑体" w:cs="黑体"/>
          <w:sz w:val="32"/>
          <w:szCs w:val="32"/>
          <w:lang w:val="en-US" w:eastAsia="zh-CN"/>
        </w:rPr>
        <w:t>二</w:t>
      </w:r>
      <w:r>
        <w:rPr>
          <w:rFonts w:hint="eastAsia" w:ascii="黑体" w:hAnsi="黑体" w:eastAsia="黑体" w:cs="黑体"/>
          <w:sz w:val="32"/>
          <w:szCs w:val="32"/>
        </w:rPr>
        <w:t>〇</w:t>
      </w:r>
      <w:r>
        <w:rPr>
          <w:rFonts w:hint="eastAsia" w:ascii="黑体" w:hAnsi="黑体" w:eastAsia="黑体" w:cs="黑体"/>
          <w:sz w:val="32"/>
          <w:szCs w:val="32"/>
          <w:lang w:val="en-US" w:eastAsia="zh-CN"/>
        </w:rPr>
        <w:t>二</w:t>
      </w:r>
      <w:r>
        <w:rPr>
          <w:rFonts w:hint="eastAsia" w:ascii="黑体" w:hAnsi="黑体" w:eastAsia="黑体" w:cs="黑体"/>
          <w:sz w:val="32"/>
          <w:szCs w:val="32"/>
        </w:rPr>
        <w:t>〇</w:t>
      </w:r>
      <w:r>
        <w:rPr>
          <w:rFonts w:hint="eastAsia" w:ascii="黑体" w:hAnsi="黑体" w:eastAsia="黑体" w:cs="黑体"/>
          <w:sz w:val="32"/>
          <w:szCs w:val="32"/>
          <w:lang w:val="en-US" w:eastAsia="zh-CN"/>
        </w:rPr>
        <w:t>年九月</w:t>
      </w:r>
    </w:p>
    <w:p>
      <w:pPr>
        <w:spacing w:line="90" w:lineRule="exact"/>
        <w:rPr>
          <w:rFonts w:ascii="Times New Roman" w:hAnsi="Times New Roman" w:eastAsia="Times New Roman"/>
        </w:rPr>
      </w:pPr>
    </w:p>
    <w:p>
      <w:pPr>
        <w:tabs>
          <w:tab w:val="left" w:pos="4740"/>
        </w:tabs>
        <w:spacing w:line="0" w:lineRule="atLeast"/>
        <w:ind w:left="3680"/>
        <w:rPr>
          <w:rFonts w:ascii="黑体" w:hAnsi="黑体" w:eastAsia="黑体"/>
          <w:sz w:val="36"/>
        </w:rPr>
      </w:pPr>
      <w:r>
        <w:rPr>
          <w:rFonts w:ascii="黑体" w:hAnsi="黑体" w:eastAsia="黑体"/>
          <w:sz w:val="36"/>
        </w:rPr>
        <w:t>目</w:t>
      </w:r>
      <w:r>
        <w:rPr>
          <w:rFonts w:ascii="Times New Roman" w:hAnsi="Times New Roman" w:eastAsia="Times New Roman"/>
        </w:rPr>
        <w:tab/>
      </w:r>
      <w:r>
        <w:rPr>
          <w:rFonts w:ascii="黑体" w:hAnsi="黑体" w:eastAsia="黑体"/>
          <w:sz w:val="36"/>
        </w:rPr>
        <w:t>录</w:t>
      </w:r>
    </w:p>
    <w:p>
      <w:pPr>
        <w:spacing w:line="249" w:lineRule="exact"/>
        <w:rPr>
          <w:rFonts w:ascii="Times New Roman" w:hAnsi="Times New Roman" w:eastAsia="Times New Roman"/>
        </w:rPr>
      </w:pPr>
    </w:p>
    <w:p>
      <w:pPr>
        <w:spacing w:line="239" w:lineRule="auto"/>
        <w:jc w:val="both"/>
        <w:rPr>
          <w:rFonts w:ascii="黑体" w:hAnsi="黑体" w:eastAsia="黑体"/>
          <w:sz w:val="32"/>
        </w:rPr>
      </w:pPr>
      <w:r>
        <w:rPr>
          <w:rFonts w:ascii="黑体" w:hAnsi="黑体" w:eastAsia="黑体"/>
          <w:sz w:val="32"/>
        </w:rPr>
        <w:t>第一部分</w:t>
      </w:r>
      <w:r>
        <w:rPr>
          <w:rFonts w:ascii="Times New Roman" w:hAnsi="Times New Roman" w:eastAsia="Times New Roman"/>
        </w:rPr>
        <w:tab/>
      </w:r>
      <w:r>
        <w:rPr>
          <w:rFonts w:hint="eastAsia" w:ascii="黑体" w:hAnsi="黑体" w:eastAsia="黑体" w:cs="黑体"/>
          <w:b w:val="0"/>
          <w:bCs w:val="0"/>
          <w:sz w:val="32"/>
          <w:szCs w:val="32"/>
        </w:rPr>
        <w:t>濮阳县</w:t>
      </w:r>
      <w:r>
        <w:rPr>
          <w:rFonts w:hint="eastAsia" w:ascii="黑体" w:hAnsi="黑体" w:eastAsia="黑体" w:cs="黑体"/>
          <w:b w:val="0"/>
          <w:bCs w:val="0"/>
          <w:sz w:val="32"/>
          <w:szCs w:val="32"/>
          <w:lang w:eastAsia="zh-CN"/>
        </w:rPr>
        <w:t>国土资源局</w:t>
      </w:r>
      <w:r>
        <w:rPr>
          <w:rFonts w:ascii="黑体" w:hAnsi="黑体" w:eastAsia="黑体"/>
          <w:sz w:val="32"/>
        </w:rPr>
        <w:t>概况</w:t>
      </w:r>
    </w:p>
    <w:p>
      <w:pPr>
        <w:spacing w:line="265" w:lineRule="exact"/>
        <w:rPr>
          <w:rFonts w:ascii="Times New Roman" w:hAnsi="Times New Roman" w:eastAsia="Times New Roman"/>
        </w:rPr>
      </w:pPr>
    </w:p>
    <w:p>
      <w:pPr>
        <w:spacing w:line="0" w:lineRule="atLeast"/>
        <w:ind w:firstLine="640" w:firstLineChars="200"/>
        <w:rPr>
          <w:rFonts w:hint="eastAsia" w:ascii="宋体" w:hAnsi="宋体" w:eastAsia="宋体"/>
          <w:sz w:val="32"/>
          <w:lang w:val="en-US" w:eastAsia="zh-CN"/>
        </w:rPr>
      </w:pPr>
      <w:r>
        <w:rPr>
          <w:rFonts w:ascii="宋体" w:hAnsi="宋体" w:eastAsia="宋体"/>
          <w:sz w:val="32"/>
        </w:rPr>
        <w:t>一、</w:t>
      </w:r>
      <w:r>
        <w:rPr>
          <w:rFonts w:hint="eastAsia" w:ascii="宋体" w:hAnsi="宋体" w:eastAsia="宋体"/>
          <w:sz w:val="32"/>
          <w:lang w:val="en-US" w:eastAsia="zh-CN"/>
        </w:rPr>
        <w:t>部门职责</w:t>
      </w:r>
    </w:p>
    <w:p>
      <w:pPr>
        <w:spacing w:line="269" w:lineRule="exact"/>
        <w:rPr>
          <w:rFonts w:ascii="Times New Roman" w:hAnsi="Times New Roman" w:eastAsia="Times New Roman"/>
        </w:rPr>
      </w:pPr>
    </w:p>
    <w:p>
      <w:pPr>
        <w:spacing w:line="0" w:lineRule="atLeast"/>
        <w:ind w:firstLine="640" w:firstLineChars="200"/>
        <w:rPr>
          <w:rFonts w:hint="eastAsia" w:ascii="宋体" w:hAnsi="宋体" w:eastAsia="宋体"/>
          <w:sz w:val="32"/>
          <w:lang w:val="en-US" w:eastAsia="zh-CN"/>
        </w:rPr>
      </w:pPr>
      <w:r>
        <w:rPr>
          <w:rFonts w:ascii="宋体" w:hAnsi="宋体" w:eastAsia="宋体"/>
          <w:sz w:val="32"/>
        </w:rPr>
        <w:t>二、</w:t>
      </w:r>
      <w:r>
        <w:rPr>
          <w:rFonts w:hint="eastAsia" w:ascii="宋体" w:hAnsi="宋体" w:eastAsia="宋体"/>
          <w:sz w:val="32"/>
          <w:lang w:val="en-US" w:eastAsia="zh-CN"/>
        </w:rPr>
        <w:t>机构设置</w:t>
      </w:r>
    </w:p>
    <w:p>
      <w:pPr>
        <w:spacing w:line="275" w:lineRule="exact"/>
        <w:rPr>
          <w:rFonts w:ascii="Times New Roman" w:hAnsi="Times New Roman" w:eastAsia="Times New Roman"/>
        </w:rPr>
      </w:pPr>
    </w:p>
    <w:p>
      <w:pPr>
        <w:tabs>
          <w:tab w:val="left" w:pos="1900"/>
        </w:tabs>
        <w:spacing w:line="0" w:lineRule="atLeast"/>
        <w:rPr>
          <w:rFonts w:ascii="黑体" w:hAnsi="黑体" w:eastAsia="黑体"/>
          <w:sz w:val="32"/>
        </w:rPr>
      </w:pPr>
      <w:r>
        <w:rPr>
          <w:rFonts w:ascii="黑体" w:hAnsi="黑体" w:eastAsia="黑体"/>
          <w:sz w:val="32"/>
        </w:rPr>
        <w:t>第二部分</w:t>
      </w:r>
      <w:r>
        <w:rPr>
          <w:rFonts w:ascii="Times New Roman" w:hAnsi="Times New Roman" w:eastAsia="Times New Roman"/>
        </w:rPr>
        <w:tab/>
      </w:r>
      <w:r>
        <w:rPr>
          <w:rFonts w:hint="eastAsia" w:ascii="黑体" w:hAnsi="黑体" w:eastAsia="黑体" w:cs="黑体"/>
          <w:b w:val="0"/>
          <w:bCs w:val="0"/>
          <w:sz w:val="32"/>
          <w:szCs w:val="32"/>
        </w:rPr>
        <w:t>濮阳县</w:t>
      </w:r>
      <w:r>
        <w:rPr>
          <w:rFonts w:hint="eastAsia" w:ascii="黑体" w:hAnsi="黑体" w:eastAsia="黑体" w:cs="黑体"/>
          <w:b w:val="0"/>
          <w:bCs w:val="0"/>
          <w:sz w:val="32"/>
          <w:szCs w:val="32"/>
          <w:lang w:eastAsia="zh-CN"/>
        </w:rPr>
        <w:t>国土资源局</w:t>
      </w:r>
      <w:r>
        <w:rPr>
          <w:rFonts w:ascii="黑体" w:hAnsi="黑体" w:eastAsia="黑体"/>
          <w:sz w:val="32"/>
        </w:rPr>
        <w:t xml:space="preserve"> 201</w:t>
      </w:r>
      <w:r>
        <w:rPr>
          <w:rFonts w:hint="eastAsia" w:ascii="黑体" w:hAnsi="黑体" w:eastAsia="黑体"/>
          <w:sz w:val="32"/>
          <w:lang w:val="en-US" w:eastAsia="zh-CN"/>
        </w:rPr>
        <w:t>9</w:t>
      </w:r>
      <w:r>
        <w:rPr>
          <w:rFonts w:ascii="黑体" w:hAnsi="黑体" w:eastAsia="黑体"/>
          <w:sz w:val="32"/>
        </w:rPr>
        <w:t>年度部门决算表</w:t>
      </w:r>
    </w:p>
    <w:p>
      <w:pPr>
        <w:spacing w:line="265" w:lineRule="exact"/>
        <w:rPr>
          <w:rFonts w:ascii="Times New Roman" w:hAnsi="Times New Roman" w:eastAsia="Times New Roman"/>
        </w:rPr>
      </w:pPr>
    </w:p>
    <w:p>
      <w:pPr>
        <w:spacing w:line="0" w:lineRule="atLeast"/>
        <w:ind w:firstLine="640" w:firstLineChars="200"/>
        <w:rPr>
          <w:rFonts w:ascii="宋体" w:hAnsi="宋体" w:eastAsia="宋体"/>
          <w:sz w:val="32"/>
        </w:rPr>
      </w:pPr>
      <w:r>
        <w:rPr>
          <w:rFonts w:ascii="宋体" w:hAnsi="宋体" w:eastAsia="宋体"/>
          <w:sz w:val="32"/>
        </w:rPr>
        <w:t>一、收入支出决算总表</w:t>
      </w:r>
    </w:p>
    <w:p>
      <w:pPr>
        <w:spacing w:line="269" w:lineRule="exact"/>
        <w:rPr>
          <w:rFonts w:ascii="Times New Roman" w:hAnsi="Times New Roman" w:eastAsia="Times New Roman"/>
        </w:rPr>
      </w:pPr>
    </w:p>
    <w:p>
      <w:pPr>
        <w:spacing w:line="0" w:lineRule="atLeast"/>
        <w:ind w:firstLine="640" w:firstLineChars="200"/>
        <w:rPr>
          <w:rFonts w:ascii="宋体" w:hAnsi="宋体" w:eastAsia="宋体"/>
          <w:sz w:val="32"/>
        </w:rPr>
      </w:pPr>
      <w:r>
        <w:rPr>
          <w:rFonts w:ascii="宋体" w:hAnsi="宋体" w:eastAsia="宋体"/>
          <w:sz w:val="32"/>
        </w:rPr>
        <w:t>二、收入决算表</w:t>
      </w:r>
    </w:p>
    <w:p>
      <w:pPr>
        <w:spacing w:line="269" w:lineRule="exact"/>
        <w:rPr>
          <w:rFonts w:ascii="Times New Roman" w:hAnsi="Times New Roman" w:eastAsia="Times New Roman"/>
        </w:rPr>
      </w:pPr>
    </w:p>
    <w:p>
      <w:pPr>
        <w:spacing w:line="0" w:lineRule="atLeast"/>
        <w:ind w:firstLine="640" w:firstLineChars="200"/>
        <w:rPr>
          <w:rFonts w:ascii="宋体" w:hAnsi="宋体" w:eastAsia="宋体"/>
          <w:sz w:val="32"/>
        </w:rPr>
      </w:pPr>
      <w:r>
        <w:rPr>
          <w:rFonts w:ascii="宋体" w:hAnsi="宋体" w:eastAsia="宋体"/>
          <w:sz w:val="32"/>
        </w:rPr>
        <w:t>三、支出决算表</w:t>
      </w:r>
    </w:p>
    <w:p>
      <w:pPr>
        <w:spacing w:line="269" w:lineRule="exact"/>
        <w:rPr>
          <w:rFonts w:ascii="Times New Roman" w:hAnsi="Times New Roman" w:eastAsia="Times New Roman"/>
        </w:rPr>
      </w:pPr>
    </w:p>
    <w:p>
      <w:pPr>
        <w:spacing w:line="0" w:lineRule="atLeast"/>
        <w:ind w:firstLine="640" w:firstLineChars="200"/>
        <w:rPr>
          <w:rFonts w:ascii="宋体" w:hAnsi="宋体" w:eastAsia="宋体"/>
          <w:sz w:val="32"/>
        </w:rPr>
      </w:pPr>
      <w:r>
        <w:rPr>
          <w:rFonts w:ascii="宋体" w:hAnsi="宋体" w:eastAsia="宋体"/>
          <w:sz w:val="32"/>
        </w:rPr>
        <w:t>四、财政拨款收入支出决算总表</w:t>
      </w:r>
    </w:p>
    <w:p>
      <w:pPr>
        <w:spacing w:line="269" w:lineRule="exact"/>
        <w:rPr>
          <w:rFonts w:ascii="Times New Roman" w:hAnsi="Times New Roman" w:eastAsia="Times New Roman"/>
        </w:rPr>
      </w:pPr>
    </w:p>
    <w:p>
      <w:pPr>
        <w:spacing w:line="0" w:lineRule="atLeast"/>
        <w:ind w:firstLine="640" w:firstLineChars="200"/>
        <w:rPr>
          <w:rFonts w:ascii="宋体" w:hAnsi="宋体" w:eastAsia="宋体"/>
          <w:sz w:val="32"/>
        </w:rPr>
      </w:pPr>
      <w:r>
        <w:rPr>
          <w:rFonts w:ascii="宋体" w:hAnsi="宋体" w:eastAsia="宋体"/>
          <w:sz w:val="32"/>
        </w:rPr>
        <w:t>五、一般公共预算财政拨款支出决算表</w:t>
      </w:r>
    </w:p>
    <w:p>
      <w:pPr>
        <w:spacing w:line="271" w:lineRule="exact"/>
        <w:rPr>
          <w:rFonts w:ascii="Times New Roman" w:hAnsi="Times New Roman" w:eastAsia="Times New Roman"/>
        </w:rPr>
      </w:pPr>
    </w:p>
    <w:p>
      <w:pPr>
        <w:spacing w:line="0" w:lineRule="atLeast"/>
        <w:ind w:firstLine="640" w:firstLineChars="200"/>
        <w:rPr>
          <w:rFonts w:ascii="宋体" w:hAnsi="宋体" w:eastAsia="宋体"/>
          <w:sz w:val="32"/>
        </w:rPr>
      </w:pPr>
      <w:r>
        <w:rPr>
          <w:rFonts w:ascii="宋体" w:hAnsi="宋体" w:eastAsia="宋体"/>
          <w:sz w:val="32"/>
        </w:rPr>
        <w:t>六、一般公共预算财政拨款基本支出决算表</w:t>
      </w:r>
    </w:p>
    <w:p>
      <w:pPr>
        <w:spacing w:line="269" w:lineRule="exact"/>
        <w:rPr>
          <w:rFonts w:ascii="Times New Roman" w:hAnsi="Times New Roman" w:eastAsia="Times New Roman"/>
        </w:rPr>
      </w:pPr>
    </w:p>
    <w:p>
      <w:pPr>
        <w:spacing w:line="0" w:lineRule="atLeast"/>
        <w:ind w:firstLine="640" w:firstLineChars="200"/>
        <w:rPr>
          <w:rFonts w:ascii="宋体" w:hAnsi="宋体" w:eastAsia="宋体"/>
          <w:sz w:val="32"/>
        </w:rPr>
      </w:pPr>
      <w:r>
        <w:rPr>
          <w:rFonts w:ascii="宋体" w:hAnsi="宋体" w:eastAsia="宋体"/>
          <w:sz w:val="32"/>
        </w:rPr>
        <w:t>七、一般公共预算财政拨款“三公”经费支出决算表</w:t>
      </w:r>
    </w:p>
    <w:p>
      <w:pPr>
        <w:spacing w:line="269" w:lineRule="exact"/>
        <w:rPr>
          <w:rFonts w:ascii="Times New Roman" w:hAnsi="Times New Roman" w:eastAsia="Times New Roman"/>
        </w:rPr>
      </w:pPr>
    </w:p>
    <w:p>
      <w:pPr>
        <w:spacing w:line="0" w:lineRule="atLeast"/>
        <w:ind w:firstLine="640" w:firstLineChars="200"/>
        <w:rPr>
          <w:rFonts w:ascii="宋体" w:hAnsi="宋体" w:eastAsia="宋体"/>
          <w:sz w:val="32"/>
        </w:rPr>
      </w:pPr>
      <w:r>
        <w:rPr>
          <w:rFonts w:ascii="宋体" w:hAnsi="宋体" w:eastAsia="宋体"/>
          <w:sz w:val="32"/>
        </w:rPr>
        <w:t>八、政府性基金预算财政拨款收入支出决算表</w:t>
      </w:r>
    </w:p>
    <w:p>
      <w:pPr>
        <w:spacing w:line="284" w:lineRule="exact"/>
        <w:rPr>
          <w:rFonts w:ascii="Times New Roman" w:hAnsi="Times New Roman" w:eastAsia="Times New Roman"/>
        </w:rPr>
      </w:pPr>
    </w:p>
    <w:p>
      <w:pPr>
        <w:numPr>
          <w:ilvl w:val="0"/>
          <w:numId w:val="1"/>
        </w:numPr>
        <w:tabs>
          <w:tab w:val="left" w:pos="1900"/>
        </w:tabs>
        <w:spacing w:line="0" w:lineRule="atLeast"/>
        <w:rPr>
          <w:rFonts w:ascii="黑体" w:hAnsi="黑体" w:eastAsia="黑体"/>
          <w:sz w:val="31"/>
        </w:rPr>
      </w:pPr>
      <w:r>
        <w:rPr>
          <w:rFonts w:hint="eastAsia" w:ascii="黑体" w:hAnsi="黑体" w:eastAsia="黑体" w:cs="黑体"/>
          <w:b w:val="0"/>
          <w:bCs w:val="0"/>
          <w:sz w:val="32"/>
          <w:szCs w:val="32"/>
        </w:rPr>
        <w:t>濮阳县</w:t>
      </w:r>
      <w:r>
        <w:rPr>
          <w:rFonts w:hint="eastAsia" w:ascii="黑体" w:hAnsi="黑体" w:eastAsia="黑体" w:cs="黑体"/>
          <w:b w:val="0"/>
          <w:bCs w:val="0"/>
          <w:sz w:val="32"/>
          <w:szCs w:val="32"/>
          <w:lang w:eastAsia="zh-CN"/>
        </w:rPr>
        <w:t>国土资源局</w:t>
      </w:r>
      <w:r>
        <w:rPr>
          <w:rFonts w:ascii="黑体" w:hAnsi="黑体" w:eastAsia="黑体"/>
          <w:sz w:val="31"/>
        </w:rPr>
        <w:t>201</w:t>
      </w:r>
      <w:r>
        <w:rPr>
          <w:rFonts w:hint="eastAsia" w:ascii="黑体" w:hAnsi="黑体" w:eastAsia="黑体"/>
          <w:sz w:val="31"/>
          <w:lang w:val="en-US" w:eastAsia="zh-CN"/>
        </w:rPr>
        <w:t>9</w:t>
      </w:r>
      <w:r>
        <w:rPr>
          <w:rFonts w:ascii="黑体" w:hAnsi="黑体" w:eastAsia="黑体"/>
          <w:sz w:val="31"/>
        </w:rPr>
        <w:t>年度部门决算情况说明</w:t>
      </w:r>
    </w:p>
    <w:p>
      <w:pPr>
        <w:pStyle w:val="3"/>
        <w:spacing w:before="224" w:line="372" w:lineRule="auto"/>
        <w:ind w:left="747" w:right="3658"/>
      </w:pPr>
      <w:r>
        <w:rPr>
          <w:spacing w:val="-1"/>
        </w:rPr>
        <w:t>一、收入支出决算总体情况说明</w:t>
      </w:r>
      <w:r>
        <w:t>二、收入决算情况说明</w:t>
      </w:r>
    </w:p>
    <w:p>
      <w:pPr>
        <w:pStyle w:val="3"/>
        <w:spacing w:line="409" w:lineRule="exact"/>
        <w:ind w:left="747"/>
      </w:pPr>
      <w:r>
        <w:rPr>
          <w:w w:val="95"/>
        </w:rPr>
        <w:t>三、支出决算情况说明</w:t>
      </w:r>
    </w:p>
    <w:p>
      <w:pPr>
        <w:pStyle w:val="3"/>
        <w:spacing w:before="223"/>
        <w:ind w:left="747"/>
      </w:pPr>
      <w:r>
        <w:t>四、财政拨款收入支出决算总体情况说明</w:t>
      </w:r>
    </w:p>
    <w:p>
      <w:pPr>
        <w:pStyle w:val="3"/>
        <w:spacing w:before="224"/>
        <w:ind w:left="747"/>
      </w:pPr>
      <w:r>
        <w:t>五、一般公共预算财政拨款支出决算情况说明</w:t>
      </w:r>
    </w:p>
    <w:p>
      <w:pPr>
        <w:pStyle w:val="3"/>
        <w:spacing w:before="223"/>
        <w:ind w:left="747"/>
      </w:pPr>
      <w:r>
        <w:t>六、一般公共预算财政拨款基本支出决算情况说明</w:t>
      </w:r>
    </w:p>
    <w:p>
      <w:pPr>
        <w:pStyle w:val="3"/>
        <w:spacing w:before="224"/>
        <w:ind w:left="747"/>
      </w:pPr>
      <w:r>
        <w:t>七、一般公共预算财政拨款“三公”经费支出决算情况说</w:t>
      </w:r>
    </w:p>
    <w:p>
      <w:pPr>
        <w:pStyle w:val="3"/>
        <w:spacing w:before="54"/>
      </w:pPr>
      <w:r>
        <w:rPr>
          <w:w w:val="99"/>
        </w:rPr>
        <w:t>明</w:t>
      </w:r>
    </w:p>
    <w:p>
      <w:pPr>
        <w:spacing w:after="0"/>
        <w:sectPr>
          <w:pgSz w:w="11910" w:h="16840"/>
          <w:pgMar w:top="1480" w:right="1540" w:bottom="280" w:left="1480" w:header="720" w:footer="720" w:gutter="0"/>
          <w:pgNumType w:fmt="decimal"/>
          <w:cols w:space="720" w:num="1"/>
        </w:sectPr>
      </w:pPr>
    </w:p>
    <w:p>
      <w:pPr>
        <w:pStyle w:val="3"/>
        <w:spacing w:before="35"/>
        <w:ind w:firstLine="320" w:firstLineChars="100"/>
      </w:pPr>
      <w:r>
        <w:t>八、预算绩效情况说明</w:t>
      </w:r>
    </w:p>
    <w:p>
      <w:pPr>
        <w:numPr>
          <w:ilvl w:val="0"/>
          <w:numId w:val="0"/>
        </w:numPr>
        <w:tabs>
          <w:tab w:val="left" w:pos="1900"/>
        </w:tabs>
        <w:spacing w:line="0" w:lineRule="atLeast"/>
        <w:rPr>
          <w:rFonts w:hint="eastAsia" w:ascii="宋体" w:hAnsi="宋体" w:eastAsia="宋体" w:cs="宋体"/>
          <w:sz w:val="32"/>
          <w:szCs w:val="32"/>
        </w:rPr>
      </w:pPr>
      <w:r>
        <w:rPr>
          <w:rFonts w:hint="eastAsia" w:ascii="黑体" w:hAnsi="黑体" w:eastAsia="黑体"/>
          <w:sz w:val="31"/>
          <w:lang w:val="en-US" w:eastAsia="zh-CN"/>
        </w:rPr>
        <w:t xml:space="preserve">  </w:t>
      </w:r>
      <w:r>
        <w:rPr>
          <w:rFonts w:hint="eastAsia" w:ascii="宋体" w:hAnsi="宋体" w:eastAsia="宋体" w:cs="宋体"/>
          <w:sz w:val="32"/>
          <w:szCs w:val="32"/>
        </w:rPr>
        <w:t>九、政府性基金预算财政拨款支出决算情况说明</w:t>
      </w:r>
    </w:p>
    <w:p>
      <w:pPr>
        <w:pStyle w:val="3"/>
        <w:spacing w:before="223" w:line="372" w:lineRule="auto"/>
        <w:ind w:right="1417" w:firstLine="320" w:firstLineChars="100"/>
      </w:pPr>
      <w:r>
        <w:t>十、机关运行经费支出情况说明</w:t>
      </w:r>
    </w:p>
    <w:p>
      <w:pPr>
        <w:pStyle w:val="3"/>
        <w:spacing w:line="372" w:lineRule="auto"/>
        <w:ind w:right="3977" w:firstLine="320" w:firstLineChars="100"/>
        <w:rPr>
          <w:rFonts w:hint="eastAsia" w:eastAsia="宋体"/>
          <w:lang w:val="en-US" w:eastAsia="zh-CN"/>
        </w:rPr>
      </w:pPr>
      <w:r>
        <w:t>十一、政府采购支出情况说</w:t>
      </w:r>
      <w:r>
        <w:rPr>
          <w:rFonts w:hint="eastAsia"/>
          <w:lang w:val="en-US" w:eastAsia="zh-CN"/>
        </w:rPr>
        <w:t>明</w:t>
      </w:r>
    </w:p>
    <w:p>
      <w:pPr>
        <w:pStyle w:val="3"/>
        <w:spacing w:line="372" w:lineRule="auto"/>
        <w:ind w:right="3977" w:firstLine="320" w:firstLineChars="100"/>
      </w:pPr>
      <w:r>
        <w:t>十二、国有资产占用情况说明</w:t>
      </w:r>
    </w:p>
    <w:p>
      <w:pPr>
        <w:pStyle w:val="3"/>
        <w:tabs>
          <w:tab w:val="left" w:pos="2026"/>
        </w:tabs>
        <w:spacing w:line="409" w:lineRule="exact"/>
        <w:ind w:left="106" w:firstLine="320" w:firstLineChars="100"/>
        <w:rPr>
          <w:rFonts w:hint="eastAsia" w:ascii="黑体" w:eastAsia="黑体"/>
        </w:rPr>
      </w:pPr>
    </w:p>
    <w:p>
      <w:pPr>
        <w:pStyle w:val="3"/>
        <w:tabs>
          <w:tab w:val="left" w:pos="2026"/>
        </w:tabs>
        <w:spacing w:line="409" w:lineRule="exact"/>
        <w:ind w:left="106" w:firstLine="320" w:firstLineChars="100"/>
        <w:rPr>
          <w:rFonts w:hint="eastAsia" w:ascii="黑体" w:eastAsia="黑体"/>
        </w:rPr>
      </w:pPr>
    </w:p>
    <w:p>
      <w:pPr>
        <w:pStyle w:val="3"/>
        <w:tabs>
          <w:tab w:val="left" w:pos="2026"/>
        </w:tabs>
        <w:spacing w:line="409" w:lineRule="exact"/>
        <w:ind w:left="106" w:firstLine="320" w:firstLineChars="100"/>
        <w:rPr>
          <w:rFonts w:hint="eastAsia" w:ascii="黑体" w:eastAsia="黑体"/>
        </w:rPr>
      </w:pPr>
      <w:r>
        <w:rPr>
          <w:rFonts w:hint="eastAsia" w:ascii="黑体" w:eastAsia="黑体"/>
        </w:rPr>
        <w:t>第四部分</w:t>
      </w:r>
      <w:r>
        <w:rPr>
          <w:rFonts w:hint="eastAsia" w:ascii="黑体" w:eastAsia="黑体"/>
        </w:rPr>
        <w:tab/>
      </w:r>
      <w:r>
        <w:rPr>
          <w:rFonts w:hint="eastAsia" w:ascii="黑体" w:eastAsia="黑体"/>
        </w:rPr>
        <w:t>名词解释</w:t>
      </w:r>
    </w:p>
    <w:p>
      <w:pPr>
        <w:pStyle w:val="3"/>
        <w:spacing w:line="372" w:lineRule="auto"/>
        <w:ind w:left="640" w:leftChars="320" w:right="3977" w:firstLine="320" w:firstLineChars="100"/>
      </w:pPr>
    </w:p>
    <w:p/>
    <w:p/>
    <w:p/>
    <w:p/>
    <w:p/>
    <w:p/>
    <w:p/>
    <w:p/>
    <w:p/>
    <w:p/>
    <w:p/>
    <w:p/>
    <w:p/>
    <w:p/>
    <w:p/>
    <w:p/>
    <w:p/>
    <w:p/>
    <w:p/>
    <w:p/>
    <w:p/>
    <w:p/>
    <w:p/>
    <w:p/>
    <w:p/>
    <w:p/>
    <w:p/>
    <w:p/>
    <w:p/>
    <w:p/>
    <w:p/>
    <w:p/>
    <w:p>
      <w:pPr>
        <w:tabs>
          <w:tab w:val="left" w:pos="2860"/>
        </w:tabs>
        <w:spacing w:line="0" w:lineRule="atLeast"/>
        <w:ind w:left="4700" w:hanging="4400" w:hangingChars="1000"/>
        <w:rPr>
          <w:rFonts w:hint="eastAsia" w:ascii="黑体" w:hAnsi="黑体" w:eastAsia="黑体" w:cs="黑体"/>
          <w:sz w:val="44"/>
          <w:szCs w:val="44"/>
        </w:rPr>
      </w:pPr>
    </w:p>
    <w:p>
      <w:pPr>
        <w:tabs>
          <w:tab w:val="left" w:pos="2860"/>
        </w:tabs>
        <w:spacing w:line="0" w:lineRule="atLeast"/>
        <w:ind w:left="4700" w:hanging="4400" w:hangingChars="1000"/>
        <w:rPr>
          <w:rFonts w:hint="eastAsia" w:ascii="黑体" w:hAnsi="黑体" w:eastAsia="黑体" w:cs="黑体"/>
          <w:sz w:val="44"/>
          <w:szCs w:val="44"/>
        </w:rPr>
      </w:pPr>
    </w:p>
    <w:p>
      <w:pPr>
        <w:tabs>
          <w:tab w:val="left" w:pos="2860"/>
        </w:tabs>
        <w:spacing w:line="0" w:lineRule="atLeast"/>
        <w:ind w:left="4700" w:hanging="4400" w:hangingChars="1000"/>
        <w:rPr>
          <w:rFonts w:hint="eastAsia" w:ascii="黑体" w:hAnsi="黑体" w:eastAsia="黑体" w:cs="黑体"/>
          <w:sz w:val="44"/>
          <w:szCs w:val="44"/>
        </w:rPr>
      </w:pPr>
    </w:p>
    <w:p>
      <w:pPr>
        <w:tabs>
          <w:tab w:val="left" w:pos="2860"/>
        </w:tabs>
        <w:spacing w:line="0" w:lineRule="atLeast"/>
        <w:ind w:left="4700" w:hanging="4400" w:hangingChars="1000"/>
        <w:rPr>
          <w:rFonts w:hint="eastAsia" w:ascii="黑体" w:hAnsi="黑体" w:eastAsia="黑体" w:cs="黑体"/>
          <w:sz w:val="44"/>
          <w:szCs w:val="44"/>
        </w:rPr>
      </w:pPr>
    </w:p>
    <w:p>
      <w:pPr>
        <w:tabs>
          <w:tab w:val="left" w:pos="2860"/>
        </w:tabs>
        <w:spacing w:line="0" w:lineRule="atLeast"/>
        <w:ind w:left="4700" w:hanging="4400" w:hangingChars="1000"/>
        <w:rPr>
          <w:rFonts w:hint="eastAsia" w:ascii="黑体" w:hAnsi="黑体" w:eastAsia="黑体" w:cs="黑体"/>
          <w:sz w:val="44"/>
          <w:szCs w:val="44"/>
        </w:rPr>
      </w:pPr>
    </w:p>
    <w:p>
      <w:pPr>
        <w:tabs>
          <w:tab w:val="left" w:pos="2860"/>
        </w:tabs>
        <w:spacing w:line="0" w:lineRule="atLeast"/>
        <w:ind w:left="4700" w:hanging="4400" w:hangingChars="1000"/>
        <w:rPr>
          <w:rFonts w:hint="eastAsia" w:ascii="黑体" w:hAnsi="黑体" w:eastAsia="黑体" w:cs="黑体"/>
          <w:sz w:val="44"/>
          <w:szCs w:val="44"/>
        </w:rPr>
      </w:pPr>
    </w:p>
    <w:p>
      <w:pPr>
        <w:tabs>
          <w:tab w:val="left" w:pos="2860"/>
        </w:tabs>
        <w:spacing w:line="0" w:lineRule="atLeast"/>
        <w:ind w:left="4700" w:hanging="4400" w:hangingChars="1000"/>
        <w:rPr>
          <w:rFonts w:hint="eastAsia" w:ascii="黑体" w:hAnsi="黑体" w:eastAsia="黑体" w:cs="黑体"/>
          <w:sz w:val="44"/>
          <w:szCs w:val="44"/>
        </w:rPr>
      </w:pPr>
    </w:p>
    <w:p>
      <w:pPr>
        <w:tabs>
          <w:tab w:val="left" w:pos="2860"/>
        </w:tabs>
        <w:spacing w:line="0" w:lineRule="atLeast"/>
        <w:ind w:left="4700" w:hanging="4400" w:hangingChars="1000"/>
        <w:rPr>
          <w:rFonts w:hint="eastAsia" w:ascii="黑体" w:hAnsi="黑体" w:eastAsia="黑体" w:cs="黑体"/>
          <w:sz w:val="44"/>
          <w:szCs w:val="44"/>
        </w:rPr>
      </w:pPr>
    </w:p>
    <w:p>
      <w:pPr>
        <w:tabs>
          <w:tab w:val="left" w:pos="2860"/>
        </w:tabs>
        <w:spacing w:line="0" w:lineRule="atLeast"/>
        <w:ind w:left="4700" w:hanging="4400" w:hangingChars="1000"/>
        <w:rPr>
          <w:rFonts w:hint="eastAsia" w:ascii="黑体" w:hAnsi="黑体" w:eastAsia="黑体" w:cs="黑体"/>
          <w:sz w:val="44"/>
          <w:szCs w:val="44"/>
        </w:rPr>
      </w:pPr>
    </w:p>
    <w:p>
      <w:pPr>
        <w:tabs>
          <w:tab w:val="left" w:pos="2860"/>
        </w:tabs>
        <w:spacing w:line="0" w:lineRule="atLeast"/>
        <w:ind w:left="4700" w:hanging="4400" w:hangingChars="1000"/>
        <w:rPr>
          <w:rFonts w:hint="eastAsia" w:ascii="黑体" w:hAnsi="黑体" w:eastAsia="黑体" w:cs="黑体"/>
          <w:sz w:val="44"/>
          <w:szCs w:val="44"/>
        </w:rPr>
      </w:pPr>
    </w:p>
    <w:p>
      <w:pPr>
        <w:tabs>
          <w:tab w:val="left" w:pos="2860"/>
        </w:tabs>
        <w:spacing w:line="0" w:lineRule="atLeast"/>
        <w:ind w:left="4700" w:hanging="4400" w:hangingChars="1000"/>
        <w:jc w:val="center"/>
        <w:rPr>
          <w:rFonts w:hint="eastAsia" w:ascii="黑体" w:hAnsi="黑体" w:eastAsia="黑体" w:cs="黑体"/>
          <w:sz w:val="44"/>
          <w:szCs w:val="44"/>
        </w:rPr>
      </w:pPr>
      <w:r>
        <w:rPr>
          <w:rFonts w:hint="eastAsia" w:ascii="黑体" w:hAnsi="黑体" w:eastAsia="黑体" w:cs="黑体"/>
          <w:sz w:val="44"/>
          <w:szCs w:val="44"/>
        </w:rPr>
        <w:t>第一部分</w:t>
      </w:r>
      <w:r>
        <w:rPr>
          <w:rFonts w:hint="eastAsia" w:ascii="黑体" w:hAnsi="黑体" w:eastAsia="黑体" w:cs="黑体"/>
          <w:sz w:val="44"/>
          <w:szCs w:val="44"/>
          <w:lang w:val="en-US" w:eastAsia="zh-CN"/>
        </w:rPr>
        <w:t xml:space="preserve"> </w:t>
      </w:r>
      <w:r>
        <w:rPr>
          <w:rFonts w:hint="eastAsia" w:ascii="黑体" w:hAnsi="黑体" w:eastAsia="黑体" w:cs="黑体"/>
          <w:b w:val="0"/>
          <w:bCs w:val="0"/>
          <w:sz w:val="44"/>
          <w:szCs w:val="44"/>
        </w:rPr>
        <w:t>濮阳县</w:t>
      </w:r>
      <w:r>
        <w:rPr>
          <w:rFonts w:hint="eastAsia" w:ascii="黑体" w:hAnsi="黑体" w:eastAsia="黑体" w:cs="黑体"/>
          <w:b w:val="0"/>
          <w:bCs w:val="0"/>
          <w:sz w:val="44"/>
          <w:szCs w:val="44"/>
          <w:lang w:eastAsia="zh-CN"/>
        </w:rPr>
        <w:t>国土资源局</w:t>
      </w:r>
      <w:r>
        <w:rPr>
          <w:rFonts w:hint="eastAsia" w:ascii="黑体" w:hAnsi="黑体" w:eastAsia="黑体" w:cs="黑体"/>
          <w:sz w:val="44"/>
          <w:szCs w:val="44"/>
        </w:rPr>
        <w:t>概况</w:t>
      </w:r>
    </w:p>
    <w:p>
      <w:pPr>
        <w:tabs>
          <w:tab w:val="left" w:pos="2860"/>
        </w:tabs>
        <w:spacing w:line="0" w:lineRule="atLeast"/>
        <w:jc w:val="center"/>
        <w:rPr>
          <w:rFonts w:hint="eastAsia" w:ascii="黑体" w:hAnsi="黑体" w:eastAsia="黑体" w:cs="黑体"/>
          <w:sz w:val="44"/>
          <w:szCs w:val="44"/>
        </w:rPr>
        <w:sectPr>
          <w:pgSz w:w="11900" w:h="16838"/>
          <w:pgMar w:top="1440" w:right="1542" w:bottom="726" w:left="1480" w:header="0" w:footer="0" w:gutter="0"/>
          <w:pgNumType w:fmt="decimal"/>
          <w:cols w:space="0" w:num="1"/>
          <w:rtlGutter w:val="0"/>
          <w:docGrid w:linePitch="360" w:charSpace="0"/>
        </w:sectPr>
      </w:pPr>
    </w:p>
    <w:p>
      <w:pPr>
        <w:spacing w:line="0" w:lineRule="atLeast"/>
        <w:ind w:firstLine="960" w:firstLineChars="300"/>
        <w:rPr>
          <w:rFonts w:ascii="黑体" w:hAnsi="黑体" w:eastAsia="黑体"/>
          <w:sz w:val="32"/>
          <w:szCs w:val="32"/>
        </w:rPr>
      </w:pPr>
      <w:r>
        <w:rPr>
          <w:rFonts w:ascii="黑体" w:hAnsi="黑体" w:eastAsia="黑体"/>
          <w:sz w:val="32"/>
          <w:szCs w:val="32"/>
        </w:rPr>
        <w:t>一、主要职责</w:t>
      </w:r>
    </w:p>
    <w:p>
      <w:pPr>
        <w:spacing w:line="321" w:lineRule="exact"/>
        <w:rPr>
          <w:rFonts w:ascii="Times New Roman" w:hAnsi="Times New Roman" w:eastAsia="Times New Roma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b w:val="0"/>
          <w:i w:val="0"/>
          <w:caps w:val="0"/>
          <w:color w:val="333333"/>
          <w:spacing w:val="0"/>
          <w:sz w:val="32"/>
          <w:szCs w:val="32"/>
          <w:shd w:val="clear" w:color="auto" w:fill="FFFFFF"/>
        </w:rPr>
      </w:pPr>
      <w:r>
        <w:rPr>
          <w:rFonts w:hint="eastAsia" w:ascii="仿宋_GB2312" w:hAnsi="仿宋_GB2312" w:eastAsia="仿宋_GB2312"/>
          <w:sz w:val="32"/>
          <w:szCs w:val="32"/>
        </w:rPr>
        <w:t>（</w:t>
      </w:r>
      <w:r>
        <w:rPr>
          <w:rFonts w:hint="eastAsia" w:ascii="宋体" w:hAnsi="宋体" w:eastAsia="宋体" w:cs="宋体"/>
          <w:b w:val="0"/>
          <w:i w:val="0"/>
          <w:caps w:val="0"/>
          <w:color w:val="333333"/>
          <w:spacing w:val="0"/>
          <w:sz w:val="32"/>
          <w:szCs w:val="32"/>
          <w:shd w:val="clear" w:color="auto" w:fill="FFFFFF"/>
        </w:rPr>
        <w:t>一）承担保护与合理利用全县土地资源、矿产资源等自然资源的责任。组织拟订全县国土资源发展规划，开展国土资源经济形势分析，研究提出全县国土资源供需总量平衡的政策建议。</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b w:val="0"/>
          <w:i w:val="0"/>
          <w:caps w:val="0"/>
          <w:color w:val="333333"/>
          <w:spacing w:val="0"/>
          <w:sz w:val="32"/>
          <w:szCs w:val="32"/>
          <w:shd w:val="clear" w:color="auto" w:fill="FFFFFF"/>
        </w:rPr>
      </w:pPr>
      <w:r>
        <w:rPr>
          <w:rFonts w:hint="eastAsia" w:ascii="宋体" w:hAnsi="宋体" w:eastAsia="宋体" w:cs="宋体"/>
          <w:b w:val="0"/>
          <w:i w:val="0"/>
          <w:caps w:val="0"/>
          <w:color w:val="333333"/>
          <w:spacing w:val="0"/>
          <w:sz w:val="32"/>
          <w:szCs w:val="32"/>
          <w:shd w:val="clear" w:color="auto" w:fill="FFFFFF"/>
        </w:rPr>
        <w:t>（二）承担规范全县国土资源管理秩序的责任。起草全县国土资源管理规范性文件、配套政策。监督检查全县国土资源行政执法和土地、矿产资源规划的执行情况。调查处理国土资源违法违规案件，依照规定负责有关行政复议和应诉工作。</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b w:val="0"/>
          <w:i w:val="0"/>
          <w:caps w:val="0"/>
          <w:color w:val="333333"/>
          <w:spacing w:val="0"/>
          <w:sz w:val="32"/>
          <w:szCs w:val="32"/>
          <w:shd w:val="clear" w:color="auto" w:fill="FFFFFF"/>
        </w:rPr>
      </w:pPr>
      <w:r>
        <w:rPr>
          <w:rFonts w:hint="eastAsia" w:ascii="宋体" w:hAnsi="宋体" w:eastAsia="宋体" w:cs="宋体"/>
          <w:b w:val="0"/>
          <w:i w:val="0"/>
          <w:caps w:val="0"/>
          <w:color w:val="333333"/>
          <w:spacing w:val="0"/>
          <w:sz w:val="32"/>
          <w:szCs w:val="32"/>
          <w:shd w:val="clear" w:color="auto" w:fill="FFFFFF"/>
        </w:rPr>
        <w:t>（三）承担优化配置全县国土资源的责任。编制并组织实施全县土地利用总体规划、土地利用年度计划、土地整理复垦开发规划和其他专项规划、计划。</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b w:val="0"/>
          <w:i w:val="0"/>
          <w:caps w:val="0"/>
          <w:color w:val="333333"/>
          <w:spacing w:val="0"/>
          <w:sz w:val="32"/>
          <w:szCs w:val="32"/>
          <w:shd w:val="clear" w:color="auto" w:fill="FFFFFF"/>
        </w:rPr>
      </w:pPr>
      <w:r>
        <w:rPr>
          <w:rFonts w:hint="eastAsia" w:ascii="宋体" w:hAnsi="宋体" w:eastAsia="宋体" w:cs="宋体"/>
          <w:b w:val="0"/>
          <w:i w:val="0"/>
          <w:caps w:val="0"/>
          <w:color w:val="333333"/>
          <w:spacing w:val="0"/>
          <w:sz w:val="32"/>
          <w:szCs w:val="32"/>
          <w:shd w:val="clear" w:color="auto" w:fill="FFFFFF"/>
        </w:rPr>
        <w:t>（四）负责规范全县国土资源权属管理。依法保护土地资源、矿产资源等自然资源所有者和使用者的合法权益，组织调处权属纠纷，做好土地确权工作。承担各类土地登记资料和地质资料的收集、整理、共享与汇交管理工作，提供社会查询服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b w:val="0"/>
          <w:i w:val="0"/>
          <w:caps w:val="0"/>
          <w:color w:val="333333"/>
          <w:spacing w:val="0"/>
          <w:sz w:val="32"/>
          <w:szCs w:val="32"/>
          <w:shd w:val="clear" w:color="auto" w:fill="FFFFFF"/>
        </w:rPr>
      </w:pPr>
      <w:r>
        <w:rPr>
          <w:rFonts w:hint="eastAsia" w:ascii="宋体" w:hAnsi="宋体" w:eastAsia="宋体" w:cs="宋体"/>
          <w:b w:val="0"/>
          <w:i w:val="0"/>
          <w:caps w:val="0"/>
          <w:color w:val="333333"/>
          <w:spacing w:val="0"/>
          <w:sz w:val="32"/>
          <w:szCs w:val="32"/>
          <w:shd w:val="clear" w:color="auto" w:fill="FFFFFF"/>
        </w:rPr>
        <w:t>（五）承担全县耕地保护的责任。确保耕地保有量和基本农田面积不减少。贯彻落实国家耕地保护法律、法规和政策，牵头拟订并实施全县耕地保护政策，组织实施耕地和基本农田保护，监督占用耕地补偿制度执行情况。</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b w:val="0"/>
          <w:i w:val="0"/>
          <w:caps w:val="0"/>
          <w:color w:val="333333"/>
          <w:spacing w:val="0"/>
          <w:sz w:val="32"/>
          <w:szCs w:val="32"/>
          <w:shd w:val="clear" w:color="auto" w:fill="FFFFFF"/>
        </w:rPr>
      </w:pPr>
      <w:r>
        <w:rPr>
          <w:rFonts w:hint="eastAsia" w:ascii="宋体" w:hAnsi="宋体" w:eastAsia="宋体" w:cs="宋体"/>
          <w:b w:val="0"/>
          <w:i w:val="0"/>
          <w:caps w:val="0"/>
          <w:color w:val="333333"/>
          <w:spacing w:val="0"/>
          <w:sz w:val="32"/>
          <w:szCs w:val="32"/>
          <w:shd w:val="clear" w:color="auto" w:fill="FFFFFF"/>
        </w:rPr>
        <w:t>（六）承担及时准确提供全县国土资源和土地利用各种数据的责任。拟订全县地籍管理实施办法，组织全县土地资源调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textAlignment w:val="auto"/>
        <w:outlineLvl w:val="9"/>
        <w:rPr>
          <w:rFonts w:hint="eastAsia" w:ascii="宋体" w:hAnsi="宋体" w:eastAsia="宋体" w:cs="宋体"/>
          <w:b w:val="0"/>
          <w:i w:val="0"/>
          <w:caps w:val="0"/>
          <w:color w:val="333333"/>
          <w:spacing w:val="0"/>
          <w:sz w:val="32"/>
          <w:szCs w:val="32"/>
          <w:shd w:val="clear" w:color="auto" w:fill="FFFFFF"/>
        </w:rPr>
      </w:pPr>
      <w:r>
        <w:rPr>
          <w:rFonts w:hint="eastAsia" w:ascii="宋体" w:hAnsi="宋体" w:eastAsia="宋体" w:cs="宋体"/>
          <w:b w:val="0"/>
          <w:i w:val="0"/>
          <w:caps w:val="0"/>
          <w:color w:val="333333"/>
          <w:spacing w:val="0"/>
          <w:sz w:val="32"/>
          <w:szCs w:val="32"/>
          <w:shd w:val="clear" w:color="auto" w:fill="FFFFFF"/>
        </w:rPr>
        <w:t>查、地籍调查、土地统计、动态监测、组织全县土地调查专项。负责县城区土地资源调查、土地统计、动态监测以及土地分等定级、确权、登记发证及日常地籍管理等工作。</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b w:val="0"/>
          <w:i w:val="0"/>
          <w:caps w:val="0"/>
          <w:color w:val="333333"/>
          <w:spacing w:val="0"/>
          <w:sz w:val="32"/>
          <w:szCs w:val="32"/>
          <w:shd w:val="clear" w:color="auto" w:fill="FFFFFF"/>
        </w:rPr>
      </w:pPr>
      <w:r>
        <w:rPr>
          <w:rFonts w:hint="eastAsia" w:ascii="宋体" w:hAnsi="宋体" w:eastAsia="宋体" w:cs="宋体"/>
          <w:b w:val="0"/>
          <w:i w:val="0"/>
          <w:caps w:val="0"/>
          <w:color w:val="333333"/>
          <w:spacing w:val="0"/>
          <w:sz w:val="32"/>
          <w:szCs w:val="32"/>
          <w:shd w:val="clear" w:color="auto" w:fill="FFFFFF"/>
        </w:rPr>
        <w:t>（七）承担全县节约集约利用土地资源的责任。</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b w:val="0"/>
          <w:i w:val="0"/>
          <w:caps w:val="0"/>
          <w:color w:val="333333"/>
          <w:spacing w:val="0"/>
          <w:sz w:val="32"/>
          <w:szCs w:val="32"/>
          <w:shd w:val="clear" w:color="auto" w:fill="FFFFFF"/>
        </w:rPr>
      </w:pPr>
      <w:r>
        <w:rPr>
          <w:rFonts w:hint="eastAsia" w:ascii="宋体" w:hAnsi="宋体" w:eastAsia="宋体" w:cs="宋体"/>
          <w:b w:val="0"/>
          <w:i w:val="0"/>
          <w:caps w:val="0"/>
          <w:color w:val="333333"/>
          <w:spacing w:val="0"/>
          <w:sz w:val="32"/>
          <w:szCs w:val="32"/>
          <w:shd w:val="clear" w:color="auto" w:fill="FFFFFF"/>
        </w:rPr>
        <w:t>（八）承担规范全县国土资源市场秩序的责任。</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b w:val="0"/>
          <w:i w:val="0"/>
          <w:caps w:val="0"/>
          <w:color w:val="333333"/>
          <w:spacing w:val="0"/>
          <w:sz w:val="32"/>
          <w:szCs w:val="32"/>
          <w:shd w:val="clear" w:color="auto" w:fill="FFFFFF"/>
        </w:rPr>
      </w:pPr>
      <w:r>
        <w:rPr>
          <w:rFonts w:hint="eastAsia" w:ascii="宋体" w:hAnsi="宋体" w:eastAsia="宋体" w:cs="宋体"/>
          <w:b w:val="0"/>
          <w:i w:val="0"/>
          <w:caps w:val="0"/>
          <w:color w:val="333333"/>
          <w:spacing w:val="0"/>
          <w:sz w:val="32"/>
          <w:szCs w:val="32"/>
          <w:shd w:val="clear" w:color="auto" w:fill="FFFFFF"/>
        </w:rPr>
        <w:t>（九）负责全县矿产资源开发管理，按照规定权限依法管理全县采矿权的审批登记发证和转让审批并承担相应责任。推行矿产资源有偿开采制度，指导、监督矿产资源补偿费征收工作。对矿产资源的勘查、开发、利用和保护进行监督管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b w:val="0"/>
          <w:i w:val="0"/>
          <w:caps w:val="0"/>
          <w:color w:val="333333"/>
          <w:spacing w:val="0"/>
          <w:sz w:val="32"/>
          <w:szCs w:val="32"/>
          <w:shd w:val="clear" w:color="auto" w:fill="FFFFFF"/>
          <w:lang w:val="en-US" w:eastAsia="zh-CN"/>
        </w:rPr>
      </w:pPr>
      <w:r>
        <w:rPr>
          <w:rFonts w:hint="eastAsia" w:ascii="宋体" w:hAnsi="宋体" w:eastAsia="宋体" w:cs="宋体"/>
          <w:b w:val="0"/>
          <w:i w:val="0"/>
          <w:caps w:val="0"/>
          <w:color w:val="333333"/>
          <w:spacing w:val="0"/>
          <w:sz w:val="32"/>
          <w:szCs w:val="32"/>
          <w:shd w:val="clear" w:color="auto" w:fill="FFFFFF"/>
        </w:rPr>
        <w:t>（十）参与拟订全县土地、矿产资源经济政策和专项收入分配、使用管理制度，参与国土资源有关资金、基金的收取、使用和财务监督。参与指导监督全县土地、矿产资源收益和土地整理复垦开发资金的收取和使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b w:val="0"/>
          <w:i w:val="0"/>
          <w:caps w:val="0"/>
          <w:color w:val="333333"/>
          <w:spacing w:val="0"/>
          <w:sz w:val="32"/>
          <w:szCs w:val="32"/>
          <w:shd w:val="clear" w:color="auto" w:fill="FFFFFF"/>
          <w:lang w:eastAsia="zh-CN"/>
        </w:rPr>
      </w:pPr>
      <w:r>
        <w:rPr>
          <w:rFonts w:hint="eastAsia" w:ascii="宋体" w:hAnsi="宋体" w:eastAsia="宋体" w:cs="宋体"/>
          <w:b w:val="0"/>
          <w:i w:val="0"/>
          <w:caps w:val="0"/>
          <w:color w:val="333333"/>
          <w:spacing w:val="0"/>
          <w:sz w:val="32"/>
          <w:szCs w:val="32"/>
          <w:shd w:val="clear" w:color="auto" w:fill="FFFFFF"/>
        </w:rPr>
        <w:t>（十一）</w:t>
      </w:r>
      <w:r>
        <w:rPr>
          <w:rFonts w:hint="eastAsia" w:ascii="宋体" w:hAnsi="宋体" w:eastAsia="宋体" w:cs="宋体"/>
          <w:b w:val="0"/>
          <w:i w:val="0"/>
          <w:caps w:val="0"/>
          <w:color w:val="333333"/>
          <w:spacing w:val="0"/>
          <w:sz w:val="32"/>
          <w:szCs w:val="32"/>
          <w:shd w:val="clear" w:color="auto" w:fill="FFFFFF"/>
          <w:lang w:eastAsia="zh-CN"/>
        </w:rPr>
        <w:t>负责全县测绘地理信息工作的统一监管；拟订测绘地理信息事业发展规划；会同有关部门编制全县基础测绘规划并组织实施；负责全县测绘基准和测量控制系统管理等工作。</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b w:val="0"/>
          <w:i w:val="0"/>
          <w:caps w:val="0"/>
          <w:color w:val="333333"/>
          <w:spacing w:val="0"/>
          <w:sz w:val="32"/>
          <w:szCs w:val="32"/>
          <w:shd w:val="clear" w:color="auto" w:fill="FFFFFF"/>
          <w:lang w:eastAsia="zh-CN"/>
        </w:rPr>
      </w:pPr>
      <w:r>
        <w:rPr>
          <w:rFonts w:hint="eastAsia" w:ascii="宋体" w:hAnsi="宋体" w:eastAsia="宋体" w:cs="宋体"/>
          <w:b w:val="0"/>
          <w:i w:val="0"/>
          <w:caps w:val="0"/>
          <w:color w:val="333333"/>
          <w:spacing w:val="0"/>
          <w:sz w:val="32"/>
          <w:szCs w:val="32"/>
          <w:shd w:val="clear" w:color="auto" w:fill="FFFFFF"/>
          <w:lang w:eastAsia="zh-CN"/>
        </w:rPr>
        <w:t>（十二）承担全县地质灾害预防和治理的责任；组织、协调、指导和监督全县地质灾害防治工作，制定并组织落实重大地质灾害等国土资源突发事件应急预案。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b w:val="0"/>
          <w:i w:val="0"/>
          <w:caps w:val="0"/>
          <w:color w:val="333333"/>
          <w:spacing w:val="0"/>
          <w:sz w:val="32"/>
          <w:szCs w:val="32"/>
          <w:shd w:val="clear" w:color="auto" w:fill="FFFFFF"/>
          <w:lang w:eastAsia="zh-CN"/>
        </w:rPr>
      </w:pPr>
      <w:r>
        <w:rPr>
          <w:rFonts w:hint="eastAsia" w:ascii="宋体" w:hAnsi="宋体" w:eastAsia="宋体" w:cs="宋体"/>
          <w:b w:val="0"/>
          <w:i w:val="0"/>
          <w:caps w:val="0"/>
          <w:color w:val="333333"/>
          <w:spacing w:val="0"/>
          <w:sz w:val="32"/>
          <w:szCs w:val="32"/>
          <w:shd w:val="clear" w:color="auto" w:fill="FFFFFF"/>
          <w:lang w:eastAsia="zh-CN"/>
        </w:rPr>
        <w:t>（十三）推进全县国土资源科技进步，拟订并组织实施全县国土资源科技发展和人才培养规划、计划，组织实施重大科技专项，推进国土资源信息化和信息资料方面的公共服务工作，指导国土资源新技术、新方法的推广。</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b w:val="0"/>
          <w:i w:val="0"/>
          <w:caps w:val="0"/>
          <w:color w:val="333333"/>
          <w:spacing w:val="0"/>
          <w:sz w:val="32"/>
          <w:szCs w:val="32"/>
          <w:shd w:val="clear" w:color="auto" w:fill="FFFFFF"/>
          <w:lang w:eastAsia="zh-CN"/>
        </w:rPr>
      </w:pPr>
      <w:r>
        <w:rPr>
          <w:rFonts w:hint="eastAsia" w:ascii="宋体" w:hAnsi="宋体" w:eastAsia="宋体" w:cs="宋体"/>
          <w:b w:val="0"/>
          <w:i w:val="0"/>
          <w:caps w:val="0"/>
          <w:color w:val="333333"/>
          <w:spacing w:val="0"/>
          <w:sz w:val="32"/>
          <w:szCs w:val="32"/>
          <w:shd w:val="clear" w:color="auto" w:fill="FFFFFF"/>
          <w:lang w:eastAsia="zh-CN"/>
        </w:rPr>
        <w:t>（十四）负责指导监督全县土地登记、房屋登记、林权登记等不动产登记工作，会同有关部门起草不动产统一登记规范性文件，建立不动产统一登记制度，拟订不动产权属争议调处政策；推动不动产登记信息基础平台建设，会同县林业局负责国有林场（苗圃）的登记发证工作。</w:t>
      </w:r>
    </w:p>
    <w:p>
      <w:pPr>
        <w:numPr>
          <w:ilvl w:val="0"/>
          <w:numId w:val="0"/>
        </w:numPr>
        <w:spacing w:line="0" w:lineRule="atLeast"/>
        <w:ind w:firstLine="321" w:firstLineChars="100"/>
        <w:rPr>
          <w:rFonts w:hint="eastAsia" w:ascii="黑体" w:hAnsi="黑体" w:eastAsia="黑体" w:cs="黑体"/>
          <w:b/>
          <w:bCs/>
          <w:color w:val="333333"/>
          <w:sz w:val="32"/>
          <w:szCs w:val="32"/>
          <w:lang w:val="en-US" w:eastAsia="zh-CN"/>
        </w:rPr>
      </w:pPr>
      <w:r>
        <w:rPr>
          <w:rFonts w:hint="eastAsia" w:ascii="黑体" w:hAnsi="黑体" w:eastAsia="黑体" w:cs="黑体"/>
          <w:b/>
          <w:bCs/>
          <w:color w:val="333333"/>
          <w:sz w:val="32"/>
          <w:szCs w:val="32"/>
          <w:lang w:eastAsia="zh-CN"/>
        </w:rPr>
        <w:t>内设机构</w:t>
      </w:r>
      <w:r>
        <w:rPr>
          <w:rFonts w:hint="eastAsia" w:ascii="黑体" w:hAnsi="黑体" w:eastAsia="黑体" w:cs="黑体"/>
          <w:b/>
          <w:bCs/>
          <w:color w:val="333333"/>
          <w:sz w:val="32"/>
          <w:szCs w:val="32"/>
          <w:lang w:val="en-US" w:eastAsia="zh-CN"/>
        </w:rPr>
        <w:t>:</w:t>
      </w:r>
    </w:p>
    <w:p>
      <w:pPr>
        <w:numPr>
          <w:ilvl w:val="0"/>
          <w:numId w:val="0"/>
        </w:numPr>
        <w:spacing w:line="0" w:lineRule="atLeast"/>
        <w:ind w:firstLine="321" w:firstLineChars="100"/>
        <w:rPr>
          <w:rFonts w:hint="eastAsia" w:ascii="黑体" w:hAnsi="黑体" w:eastAsia="黑体" w:cs="黑体"/>
          <w:b/>
          <w:bCs/>
          <w:color w:val="333333"/>
          <w:sz w:val="32"/>
          <w:szCs w:val="32"/>
          <w:lang w:val="en-US" w:eastAsia="zh-CN"/>
        </w:rPr>
      </w:pPr>
    </w:p>
    <w:p>
      <w:pPr>
        <w:numPr>
          <w:ilvl w:val="0"/>
          <w:numId w:val="0"/>
        </w:numPr>
        <w:spacing w:line="0" w:lineRule="atLeast"/>
        <w:ind w:firstLine="320" w:firstLineChars="100"/>
        <w:rPr>
          <w:rFonts w:hint="eastAsia" w:ascii="黑体" w:hAnsi="黑体" w:eastAsia="黑体" w:cs="黑体"/>
          <w:b w:val="0"/>
          <w:bCs w:val="0"/>
          <w:color w:val="333333"/>
          <w:sz w:val="32"/>
          <w:szCs w:val="32"/>
          <w:lang w:val="en-US" w:eastAsia="zh-CN"/>
        </w:rPr>
      </w:pPr>
      <w:r>
        <w:rPr>
          <w:rFonts w:hint="eastAsia" w:ascii="黑体" w:hAnsi="黑体" w:eastAsia="黑体" w:cs="黑体"/>
          <w:b w:val="0"/>
          <w:bCs w:val="0"/>
          <w:sz w:val="32"/>
          <w:szCs w:val="32"/>
        </w:rPr>
        <w:t>濮阳县</w:t>
      </w:r>
      <w:r>
        <w:rPr>
          <w:rFonts w:hint="eastAsia" w:ascii="黑体" w:hAnsi="黑体" w:eastAsia="黑体" w:cs="黑体"/>
          <w:b w:val="0"/>
          <w:bCs w:val="0"/>
          <w:sz w:val="32"/>
          <w:szCs w:val="32"/>
          <w:lang w:eastAsia="zh-CN"/>
        </w:rPr>
        <w:t>国土资源局</w:t>
      </w:r>
      <w:r>
        <w:rPr>
          <w:rFonts w:hint="eastAsia" w:ascii="黑体" w:hAnsi="黑体" w:eastAsia="黑体" w:cs="黑体"/>
          <w:b w:val="0"/>
          <w:bCs w:val="0"/>
          <w:color w:val="333333"/>
          <w:sz w:val="32"/>
          <w:szCs w:val="32"/>
          <w:lang w:val="en-US" w:eastAsia="zh-CN"/>
        </w:rPr>
        <w:t>设7个内设机构</w:t>
      </w:r>
    </w:p>
    <w:p>
      <w:pPr>
        <w:numPr>
          <w:ilvl w:val="0"/>
          <w:numId w:val="0"/>
        </w:numPr>
        <w:spacing w:line="0" w:lineRule="atLeast"/>
        <w:ind w:firstLine="320" w:firstLineChars="100"/>
        <w:rPr>
          <w:rFonts w:hint="eastAsia" w:ascii="黑体" w:hAnsi="黑体" w:eastAsia="黑体" w:cs="黑体"/>
          <w:b w:val="0"/>
          <w:bCs w:val="0"/>
          <w:color w:val="333333"/>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b w:val="0"/>
          <w:i w:val="0"/>
          <w:caps w:val="0"/>
          <w:color w:val="333333"/>
          <w:spacing w:val="0"/>
          <w:sz w:val="32"/>
          <w:szCs w:val="32"/>
          <w:shd w:val="clear" w:color="auto" w:fill="FFFFFF"/>
          <w:lang w:eastAsia="zh-CN"/>
        </w:rPr>
      </w:pPr>
    </w:p>
    <w:p>
      <w:pPr>
        <w:pStyle w:val="6"/>
        <w:keepNext w:val="0"/>
        <w:keepLines w:val="0"/>
        <w:widowControl/>
        <w:suppressLineNumbers w:val="0"/>
        <w:spacing w:line="368" w:lineRule="atLeast"/>
        <w:ind w:left="0" w:firstLine="630"/>
        <w:jc w:val="left"/>
        <w:rPr>
          <w:rFonts w:hint="eastAsia" w:ascii="宋体" w:hAnsi="宋体" w:eastAsia="宋体" w:cs="宋体"/>
          <w:b w:val="0"/>
          <w:i w:val="0"/>
          <w:caps w:val="0"/>
          <w:color w:val="333333"/>
          <w:spacing w:val="0"/>
          <w:kern w:val="0"/>
          <w:sz w:val="32"/>
          <w:szCs w:val="32"/>
          <w:shd w:val="clear" w:color="auto" w:fill="FFFFFF"/>
          <w:lang w:eastAsia="zh-CN"/>
        </w:rPr>
      </w:pPr>
      <w:r>
        <w:rPr>
          <w:rFonts w:hint="eastAsia" w:ascii="宋体" w:hAnsi="宋体" w:eastAsia="宋体" w:cs="宋体"/>
          <w:b w:val="0"/>
          <w:i w:val="0"/>
          <w:caps w:val="0"/>
          <w:color w:val="333333"/>
          <w:spacing w:val="0"/>
          <w:kern w:val="0"/>
          <w:sz w:val="32"/>
          <w:szCs w:val="32"/>
          <w:shd w:val="clear" w:color="auto" w:fill="FFFFFF"/>
          <w:lang w:eastAsia="zh-CN"/>
        </w:rPr>
        <w:t>（一）办公室（人事宣传教育股）</w:t>
      </w:r>
    </w:p>
    <w:p>
      <w:pPr>
        <w:pStyle w:val="6"/>
        <w:keepNext w:val="0"/>
        <w:keepLines w:val="0"/>
        <w:widowControl/>
        <w:suppressLineNumbers w:val="0"/>
        <w:spacing w:line="368" w:lineRule="atLeast"/>
        <w:ind w:left="0" w:firstLine="630"/>
        <w:jc w:val="left"/>
        <w:rPr>
          <w:rFonts w:hint="eastAsia" w:ascii="宋体" w:hAnsi="宋体" w:eastAsia="宋体" w:cs="宋体"/>
          <w:b w:val="0"/>
          <w:i w:val="0"/>
          <w:caps w:val="0"/>
          <w:color w:val="333333"/>
          <w:spacing w:val="0"/>
          <w:kern w:val="0"/>
          <w:sz w:val="32"/>
          <w:szCs w:val="32"/>
          <w:shd w:val="clear" w:color="auto" w:fill="FFFFFF"/>
          <w:lang w:eastAsia="zh-CN"/>
        </w:rPr>
      </w:pPr>
      <w:r>
        <w:rPr>
          <w:rFonts w:hint="eastAsia" w:ascii="宋体" w:hAnsi="宋体" w:eastAsia="宋体" w:cs="宋体"/>
          <w:b w:val="0"/>
          <w:i w:val="0"/>
          <w:caps w:val="0"/>
          <w:color w:val="333333"/>
          <w:spacing w:val="0"/>
          <w:kern w:val="0"/>
          <w:sz w:val="32"/>
          <w:szCs w:val="32"/>
          <w:shd w:val="clear" w:color="auto" w:fill="FFFFFF"/>
          <w:lang w:eastAsia="zh-CN"/>
        </w:rPr>
        <w:t>协助领导进行综合协调和督促检查；负责文电、会务、机要、档案计划生育等工作；承担安全保卫、保密、政务信息公开；负责局资产管理、后勤保障工作；组织起草国土资源管理规范性文件并组织实施；负责机关财务工作；承担监管所属单位财务及国有资产的工作。承担机关、所属单位的人事与机构编制管理工作；组织实施全县国土资源系统教育培训工作；负责离退休人员及法律法规宣传工作。</w:t>
      </w:r>
    </w:p>
    <w:p>
      <w:pPr>
        <w:pStyle w:val="6"/>
        <w:keepNext w:val="0"/>
        <w:keepLines w:val="0"/>
        <w:widowControl/>
        <w:suppressLineNumbers w:val="0"/>
        <w:spacing w:line="368" w:lineRule="atLeast"/>
        <w:ind w:left="0" w:firstLine="645"/>
        <w:jc w:val="left"/>
        <w:rPr>
          <w:rFonts w:hint="eastAsia" w:ascii="宋体" w:hAnsi="宋体" w:eastAsia="宋体" w:cs="宋体"/>
          <w:b w:val="0"/>
          <w:i w:val="0"/>
          <w:caps w:val="0"/>
          <w:color w:val="333333"/>
          <w:spacing w:val="0"/>
          <w:kern w:val="0"/>
          <w:sz w:val="32"/>
          <w:szCs w:val="32"/>
          <w:shd w:val="clear" w:color="auto" w:fill="FFFFFF"/>
          <w:lang w:eastAsia="zh-CN"/>
        </w:rPr>
      </w:pPr>
      <w:r>
        <w:rPr>
          <w:rFonts w:hint="eastAsia" w:ascii="宋体" w:hAnsi="宋体" w:eastAsia="宋体" w:cs="宋体"/>
          <w:b w:val="0"/>
          <w:i w:val="0"/>
          <w:caps w:val="0"/>
          <w:color w:val="333333"/>
          <w:spacing w:val="0"/>
          <w:kern w:val="0"/>
          <w:sz w:val="32"/>
          <w:szCs w:val="32"/>
          <w:shd w:val="clear" w:color="auto" w:fill="FFFFFF"/>
          <w:lang w:eastAsia="zh-CN"/>
        </w:rPr>
        <w:t>（二）规划耕保股</w:t>
      </w:r>
    </w:p>
    <w:p>
      <w:pPr>
        <w:pStyle w:val="6"/>
        <w:keepNext w:val="0"/>
        <w:keepLines w:val="0"/>
        <w:widowControl/>
        <w:suppressLineNumbers w:val="0"/>
        <w:spacing w:line="368" w:lineRule="atLeast"/>
        <w:ind w:left="0" w:firstLine="645"/>
        <w:jc w:val="left"/>
        <w:rPr>
          <w:rFonts w:hint="eastAsia" w:ascii="宋体" w:hAnsi="宋体" w:eastAsia="宋体" w:cs="宋体"/>
          <w:b w:val="0"/>
          <w:i w:val="0"/>
          <w:caps w:val="0"/>
          <w:color w:val="333333"/>
          <w:spacing w:val="0"/>
          <w:kern w:val="0"/>
          <w:sz w:val="32"/>
          <w:szCs w:val="32"/>
          <w:shd w:val="clear" w:color="auto" w:fill="FFFFFF"/>
          <w:lang w:eastAsia="zh-CN"/>
        </w:rPr>
      </w:pPr>
      <w:r>
        <w:rPr>
          <w:rFonts w:hint="eastAsia" w:ascii="宋体" w:hAnsi="宋体" w:eastAsia="宋体" w:cs="宋体"/>
          <w:b w:val="0"/>
          <w:i w:val="0"/>
          <w:caps w:val="0"/>
          <w:color w:val="333333"/>
          <w:spacing w:val="0"/>
          <w:kern w:val="0"/>
          <w:sz w:val="32"/>
          <w:szCs w:val="32"/>
          <w:shd w:val="clear" w:color="auto" w:fill="FFFFFF"/>
          <w:lang w:eastAsia="zh-CN"/>
        </w:rPr>
        <w:t>编制实施全县国土、土地利用、矿产资源、地质环境等综合规划；组织编制全县资源调查评价、勘查、开发、整理、复垦等专项规划；依法指导和审核乡级国土规划、土地利用总体规划、矿产资源规划；参与报县政府审批和经县政府报市政府、省政府审批的涉及土地、矿产相关规划的审核；编制实施土地利用计划和国土资源调查评价计划；承担建设项目用地预审工作；组织实施城乡建设用地增减挂钩工作；研究拟订有关国土资源的区域、城乡统筹协调、综合利用和循环经济的政策措施。编制并组织实施全县国土资源行业科技发展规划；组织实施重大科技计划；组织制定并管理全县国土资源技术标准、规程和规范；承担全县国土资源科技成果管理；对重要科技项目的实施进行监督检查；组织指导国土资源新技术、新方法的推广应用；制定全县国土资源对外合作规划、计划和政策；承担对外交流合作工作。贯彻落实国家耕地特殊保护和鼓励开发政策；拟订有关耕地保护政策措施；组织实施耕地特别是基本农田保护，监督检查基本农田保护和占用耕地补偿制度落实情况；承担全县基本农田保护区的划分和调整工作；承担耕地保护责任目标考核的有关工作；承担全县耕地占补平衡项目和动态平衡项目的立项和验收报批工作；指导、监督全县未利用土地开发、土地整理、土地复垦和土地综合整治工作。</w:t>
      </w:r>
    </w:p>
    <w:p>
      <w:pPr>
        <w:pStyle w:val="6"/>
        <w:keepNext w:val="0"/>
        <w:keepLines w:val="0"/>
        <w:widowControl/>
        <w:suppressLineNumbers w:val="0"/>
        <w:spacing w:line="368" w:lineRule="atLeast"/>
        <w:ind w:left="0" w:firstLine="645"/>
        <w:jc w:val="left"/>
        <w:rPr>
          <w:rFonts w:hint="eastAsia" w:ascii="宋体" w:hAnsi="宋体" w:eastAsia="宋体" w:cs="宋体"/>
          <w:b w:val="0"/>
          <w:i w:val="0"/>
          <w:caps w:val="0"/>
          <w:color w:val="333333"/>
          <w:spacing w:val="0"/>
          <w:kern w:val="0"/>
          <w:sz w:val="32"/>
          <w:szCs w:val="32"/>
          <w:shd w:val="clear" w:color="auto" w:fill="FFFFFF"/>
          <w:lang w:eastAsia="zh-CN"/>
        </w:rPr>
      </w:pPr>
      <w:r>
        <w:rPr>
          <w:rFonts w:hint="eastAsia" w:ascii="宋体" w:hAnsi="宋体" w:eastAsia="宋体" w:cs="宋体"/>
          <w:b w:val="0"/>
          <w:i w:val="0"/>
          <w:caps w:val="0"/>
          <w:color w:val="333333"/>
          <w:spacing w:val="0"/>
          <w:kern w:val="0"/>
          <w:sz w:val="32"/>
          <w:szCs w:val="32"/>
          <w:shd w:val="clear" w:color="auto" w:fill="FFFFFF"/>
          <w:lang w:eastAsia="zh-CN"/>
        </w:rPr>
        <w:t>（三）用地审批与利用股</w:t>
      </w:r>
    </w:p>
    <w:p>
      <w:pPr>
        <w:pStyle w:val="6"/>
        <w:keepNext w:val="0"/>
        <w:keepLines w:val="0"/>
        <w:widowControl/>
        <w:suppressLineNumbers w:val="0"/>
        <w:spacing w:line="368" w:lineRule="atLeast"/>
        <w:ind w:left="0" w:firstLine="645"/>
        <w:jc w:val="left"/>
        <w:rPr>
          <w:rFonts w:hint="eastAsia" w:ascii="宋体" w:hAnsi="宋体" w:eastAsia="宋体" w:cs="宋体"/>
          <w:b w:val="0"/>
          <w:i w:val="0"/>
          <w:caps w:val="0"/>
          <w:color w:val="333333"/>
          <w:spacing w:val="0"/>
          <w:kern w:val="0"/>
          <w:sz w:val="32"/>
          <w:szCs w:val="32"/>
          <w:shd w:val="clear" w:color="auto" w:fill="FFFFFF"/>
          <w:lang w:eastAsia="zh-CN"/>
        </w:rPr>
      </w:pPr>
      <w:r>
        <w:rPr>
          <w:rFonts w:hint="eastAsia" w:ascii="宋体" w:hAnsi="宋体" w:eastAsia="宋体" w:cs="宋体"/>
          <w:b w:val="0"/>
          <w:i w:val="0"/>
          <w:caps w:val="0"/>
          <w:color w:val="333333"/>
          <w:spacing w:val="0"/>
          <w:kern w:val="0"/>
          <w:sz w:val="32"/>
          <w:szCs w:val="32"/>
          <w:shd w:val="clear" w:color="auto" w:fill="FFFFFF"/>
          <w:lang w:eastAsia="zh-CN"/>
        </w:rPr>
        <w:t>负责全县用地审批工作；承担报县政府审批和经市政府报省政府、国务院审批的农用地转用、土地征收征用事项的组织审查、报批和监督检查工作；负责国有土地使用权划拨、出让、出租、终止和集体建设用地管理工作，监督管理农村集体建设用地使用权的流转；拟订并组织实施土地供应、土地价格、土地资产和土地储备管理政策；拟定国有土地使用权供地方案；负责全县土地的分等定级、基准地价测算及存量国有土地使用权补办出让手续；参与全县转制企业土地资产的清查、核定和处置；承办划拨土地使用权入市管理，规范划拨土地交易行为；承办改变土地性质、用途、容积率等土地使用条件的审查报批工作；承办建设项目施工和地质勘查需要临时使用国有或者集体土地的审批管理；负责土地征收征用补偿安置方案制定并配合县财政部门做好安置补偿工作；参与国家、省、市重点项目涉及建设用地事项的协调、服务和指导；负责建立被征收土地农村集体经济组织土地数量变化台帐；配合劳动保障部门对参保人员情况进行核准，依据劳动保障部门出具的社会保障资金到账证明等材料，办理建设用地相关手续；协同劳动保障部门做好被征地农民社会保障落实情况的审查工作。</w:t>
      </w:r>
    </w:p>
    <w:p>
      <w:pPr>
        <w:pStyle w:val="6"/>
        <w:keepNext w:val="0"/>
        <w:keepLines w:val="0"/>
        <w:widowControl/>
        <w:suppressLineNumbers w:val="0"/>
        <w:spacing w:line="368" w:lineRule="atLeast"/>
        <w:ind w:left="0" w:firstLine="645"/>
        <w:jc w:val="left"/>
        <w:rPr>
          <w:rFonts w:hint="eastAsia" w:ascii="宋体" w:hAnsi="宋体" w:eastAsia="宋体" w:cs="宋体"/>
          <w:b w:val="0"/>
          <w:i w:val="0"/>
          <w:caps w:val="0"/>
          <w:color w:val="333333"/>
          <w:spacing w:val="0"/>
          <w:kern w:val="0"/>
          <w:sz w:val="32"/>
          <w:szCs w:val="32"/>
          <w:shd w:val="clear" w:color="auto" w:fill="FFFFFF"/>
          <w:lang w:eastAsia="zh-CN"/>
        </w:rPr>
      </w:pPr>
      <w:r>
        <w:rPr>
          <w:rFonts w:hint="eastAsia" w:ascii="宋体" w:hAnsi="宋体" w:eastAsia="宋体" w:cs="宋体"/>
          <w:b w:val="0"/>
          <w:i w:val="0"/>
          <w:caps w:val="0"/>
          <w:color w:val="333333"/>
          <w:spacing w:val="0"/>
          <w:kern w:val="0"/>
          <w:sz w:val="32"/>
          <w:szCs w:val="32"/>
          <w:shd w:val="clear" w:color="auto" w:fill="FFFFFF"/>
          <w:lang w:eastAsia="zh-CN"/>
        </w:rPr>
        <w:t>（四）地籍管理股</w:t>
      </w:r>
    </w:p>
    <w:p>
      <w:pPr>
        <w:pStyle w:val="6"/>
        <w:keepNext w:val="0"/>
        <w:keepLines w:val="0"/>
        <w:widowControl/>
        <w:suppressLineNumbers w:val="0"/>
        <w:spacing w:line="368" w:lineRule="atLeast"/>
        <w:ind w:left="0" w:firstLine="645"/>
        <w:jc w:val="left"/>
        <w:rPr>
          <w:rFonts w:hint="eastAsia" w:ascii="宋体" w:hAnsi="宋体" w:eastAsia="宋体" w:cs="宋体"/>
          <w:b w:val="0"/>
          <w:i w:val="0"/>
          <w:caps w:val="0"/>
          <w:color w:val="333333"/>
          <w:spacing w:val="0"/>
          <w:kern w:val="0"/>
          <w:sz w:val="32"/>
          <w:szCs w:val="32"/>
          <w:shd w:val="clear" w:color="auto" w:fill="FFFFFF"/>
          <w:lang w:eastAsia="zh-CN"/>
        </w:rPr>
      </w:pPr>
      <w:r>
        <w:rPr>
          <w:rFonts w:hint="eastAsia" w:ascii="宋体" w:hAnsi="宋体" w:eastAsia="宋体" w:cs="宋体"/>
          <w:b w:val="0"/>
          <w:i w:val="0"/>
          <w:caps w:val="0"/>
          <w:color w:val="333333"/>
          <w:spacing w:val="0"/>
          <w:kern w:val="0"/>
          <w:sz w:val="32"/>
          <w:szCs w:val="32"/>
          <w:shd w:val="clear" w:color="auto" w:fill="FFFFFF"/>
          <w:lang w:eastAsia="zh-CN"/>
        </w:rPr>
        <w:t>统一管理城乡地籍工作，负责制定全县地籍管理工作规划和计划；会同有关部门制定全县土地调查、统计、地籍测绘工作规划、计划，具体组织全县土地的调查、统计、权属变更、地籍测绘、动态监测；贯彻执行国家、省、市有关政策规定相配套的土地权属管理办法和有关地籍管理的技术要求；负责土地使用权作价出资、租赁、转让、出租、抵押、终止和企业改组、重组、改制中的权属变更工作；负责建设用地项目勘测定界、地类鉴定及土地证书的提供工作。</w:t>
      </w:r>
    </w:p>
    <w:p>
      <w:pPr>
        <w:pStyle w:val="6"/>
        <w:keepNext w:val="0"/>
        <w:keepLines w:val="0"/>
        <w:widowControl/>
        <w:suppressLineNumbers w:val="0"/>
        <w:spacing w:line="368" w:lineRule="atLeast"/>
        <w:ind w:left="0" w:firstLine="630"/>
        <w:jc w:val="left"/>
        <w:rPr>
          <w:rFonts w:hint="eastAsia" w:ascii="宋体" w:hAnsi="宋体" w:eastAsia="宋体" w:cs="宋体"/>
          <w:b w:val="0"/>
          <w:i w:val="0"/>
          <w:caps w:val="0"/>
          <w:color w:val="333333"/>
          <w:spacing w:val="0"/>
          <w:kern w:val="0"/>
          <w:sz w:val="32"/>
          <w:szCs w:val="32"/>
          <w:shd w:val="clear" w:color="auto" w:fill="FFFFFF"/>
          <w:lang w:eastAsia="zh-CN"/>
        </w:rPr>
      </w:pPr>
      <w:r>
        <w:rPr>
          <w:rFonts w:hint="eastAsia" w:ascii="宋体" w:hAnsi="宋体" w:eastAsia="宋体" w:cs="宋体"/>
          <w:b w:val="0"/>
          <w:i w:val="0"/>
          <w:caps w:val="0"/>
          <w:color w:val="333333"/>
          <w:spacing w:val="0"/>
          <w:kern w:val="0"/>
          <w:sz w:val="32"/>
          <w:szCs w:val="32"/>
          <w:shd w:val="clear" w:color="auto" w:fill="FFFFFF"/>
          <w:lang w:eastAsia="zh-CN"/>
        </w:rPr>
        <w:t>（五）地质矿产股</w:t>
      </w:r>
    </w:p>
    <w:p>
      <w:pPr>
        <w:pStyle w:val="6"/>
        <w:keepNext w:val="0"/>
        <w:keepLines w:val="0"/>
        <w:widowControl/>
        <w:suppressLineNumbers w:val="0"/>
        <w:spacing w:line="368" w:lineRule="atLeast"/>
        <w:ind w:left="0" w:firstLine="645"/>
        <w:jc w:val="left"/>
        <w:rPr>
          <w:rFonts w:hint="eastAsia" w:ascii="宋体" w:hAnsi="宋体" w:eastAsia="宋体" w:cs="宋体"/>
          <w:b w:val="0"/>
          <w:i w:val="0"/>
          <w:caps w:val="0"/>
          <w:color w:val="333333"/>
          <w:spacing w:val="0"/>
          <w:kern w:val="0"/>
          <w:sz w:val="32"/>
          <w:szCs w:val="32"/>
          <w:shd w:val="clear" w:color="auto" w:fill="FFFFFF"/>
          <w:lang w:eastAsia="zh-CN"/>
        </w:rPr>
      </w:pPr>
      <w:r>
        <w:rPr>
          <w:rFonts w:hint="eastAsia" w:ascii="宋体" w:hAnsi="宋体" w:eastAsia="宋体" w:cs="宋体"/>
          <w:b w:val="0"/>
          <w:i w:val="0"/>
          <w:caps w:val="0"/>
          <w:color w:val="333333"/>
          <w:spacing w:val="0"/>
          <w:kern w:val="0"/>
          <w:sz w:val="32"/>
          <w:szCs w:val="32"/>
          <w:shd w:val="clear" w:color="auto" w:fill="FFFFFF"/>
          <w:lang w:eastAsia="zh-CN"/>
        </w:rPr>
        <w:t>拟订全县矿产资源开发管理政策；管理全县矿业权市场，监管矿产资源开采活动；组织调处重大矿业权权属争议；组织全县矿产资源调查评价；编制全县地质勘查规划并监督实施情况；管理县出资的地质勘查项目；组织实施国家地质勘查工作标准、规程和规范；管理全县地质勘查行业，负责全县地质勘查资质管理和信息管理，监管矿产资源勘查活动；负责矿产资源补偿费征收管理的监督工作；参与编制全县地质环境保护规划；编制全县地质灾害防治、地质遗迹保护规划并组织实施；组织协调和监督全县地质灾害防治工作。</w:t>
      </w:r>
    </w:p>
    <w:p>
      <w:pPr>
        <w:pStyle w:val="6"/>
        <w:keepNext w:val="0"/>
        <w:keepLines w:val="0"/>
        <w:widowControl/>
        <w:suppressLineNumbers w:val="0"/>
        <w:spacing w:line="368" w:lineRule="atLeast"/>
        <w:ind w:left="0" w:firstLine="645"/>
        <w:jc w:val="left"/>
        <w:rPr>
          <w:rFonts w:hint="eastAsia" w:ascii="宋体" w:hAnsi="宋体" w:eastAsia="宋体" w:cs="宋体"/>
          <w:b w:val="0"/>
          <w:i w:val="0"/>
          <w:caps w:val="0"/>
          <w:color w:val="333333"/>
          <w:spacing w:val="0"/>
          <w:kern w:val="0"/>
          <w:sz w:val="32"/>
          <w:szCs w:val="32"/>
          <w:shd w:val="clear" w:color="auto" w:fill="FFFFFF"/>
          <w:lang w:eastAsia="zh-CN"/>
        </w:rPr>
      </w:pPr>
      <w:r>
        <w:rPr>
          <w:rFonts w:hint="eastAsia" w:ascii="宋体" w:hAnsi="宋体" w:eastAsia="宋体" w:cs="宋体"/>
          <w:b w:val="0"/>
          <w:i w:val="0"/>
          <w:caps w:val="0"/>
          <w:color w:val="333333"/>
          <w:spacing w:val="0"/>
          <w:kern w:val="0"/>
          <w:sz w:val="32"/>
          <w:szCs w:val="32"/>
          <w:shd w:val="clear" w:color="auto" w:fill="FFFFFF"/>
          <w:lang w:eastAsia="zh-CN"/>
        </w:rPr>
        <w:t>（六）执法监察信访股</w:t>
      </w:r>
    </w:p>
    <w:p>
      <w:pPr>
        <w:pStyle w:val="6"/>
        <w:keepNext w:val="0"/>
        <w:keepLines w:val="0"/>
        <w:widowControl/>
        <w:suppressLineNumbers w:val="0"/>
        <w:spacing w:line="368" w:lineRule="atLeast"/>
        <w:ind w:left="0" w:firstLine="645"/>
        <w:jc w:val="left"/>
        <w:rPr>
          <w:rFonts w:hint="eastAsia" w:ascii="宋体" w:hAnsi="宋体" w:eastAsia="宋体" w:cs="宋体"/>
          <w:b w:val="0"/>
          <w:i w:val="0"/>
          <w:caps w:val="0"/>
          <w:color w:val="333333"/>
          <w:spacing w:val="0"/>
          <w:kern w:val="0"/>
          <w:sz w:val="32"/>
          <w:szCs w:val="32"/>
          <w:shd w:val="clear" w:color="auto" w:fill="FFFFFF"/>
          <w:lang w:eastAsia="zh-CN"/>
        </w:rPr>
      </w:pPr>
      <w:r>
        <w:rPr>
          <w:rFonts w:hint="eastAsia" w:ascii="宋体" w:hAnsi="宋体" w:eastAsia="宋体" w:cs="宋体"/>
          <w:b w:val="0"/>
          <w:i w:val="0"/>
          <w:caps w:val="0"/>
          <w:color w:val="333333"/>
          <w:spacing w:val="0"/>
          <w:kern w:val="0"/>
          <w:sz w:val="32"/>
          <w:szCs w:val="32"/>
          <w:shd w:val="clear" w:color="auto" w:fill="FFFFFF"/>
          <w:lang w:eastAsia="zh-CN"/>
        </w:rPr>
        <w:t>组织对国家和省土地资源、矿产资源、测绘管理法律、法规执行情况进行监督检查；负责全县土地规划和计划、农用地转用、土地征用、土地资产处置、土地使用权交易、矿产登记、矿权转让等行为及全县国土资源部门行政执法情况的监督检查；负责会同有关部门依法查处国土资源违法案件。负责受理、交办、转送国土资源信访事项；承办本级人民政府和上级国土资源管理部门交办的国土资源信访事项；协调处理重要国土资源信访事件；督促检查国土资源信访事件的处理情况；研究分析信访情况，开展调查研究，提出完善政策、解决问题和改进工作的建议。</w:t>
      </w:r>
    </w:p>
    <w:p>
      <w:pPr>
        <w:pStyle w:val="6"/>
        <w:keepNext w:val="0"/>
        <w:keepLines w:val="0"/>
        <w:widowControl/>
        <w:suppressLineNumbers w:val="0"/>
        <w:spacing w:line="368" w:lineRule="atLeast"/>
        <w:ind w:left="0" w:firstLine="645"/>
        <w:jc w:val="left"/>
        <w:rPr>
          <w:rFonts w:hint="eastAsia" w:ascii="宋体" w:hAnsi="宋体" w:eastAsia="宋体" w:cs="宋体"/>
          <w:b w:val="0"/>
          <w:i w:val="0"/>
          <w:caps w:val="0"/>
          <w:color w:val="333333"/>
          <w:spacing w:val="0"/>
          <w:kern w:val="0"/>
          <w:sz w:val="32"/>
          <w:szCs w:val="32"/>
          <w:shd w:val="clear" w:color="auto" w:fill="FFFFFF"/>
          <w:lang w:eastAsia="zh-CN"/>
        </w:rPr>
      </w:pPr>
      <w:r>
        <w:rPr>
          <w:rFonts w:hint="eastAsia" w:ascii="宋体" w:hAnsi="宋体" w:eastAsia="宋体" w:cs="宋体"/>
          <w:b w:val="0"/>
          <w:i w:val="0"/>
          <w:caps w:val="0"/>
          <w:color w:val="333333"/>
          <w:spacing w:val="0"/>
          <w:kern w:val="0"/>
          <w:sz w:val="32"/>
          <w:szCs w:val="32"/>
          <w:shd w:val="clear" w:color="auto" w:fill="FFFFFF"/>
          <w:lang w:eastAsia="zh-CN"/>
        </w:rPr>
        <w:t>（七）不动产登记股</w:t>
      </w:r>
    </w:p>
    <w:p>
      <w:pPr>
        <w:pStyle w:val="6"/>
        <w:keepNext w:val="0"/>
        <w:keepLines w:val="0"/>
        <w:widowControl/>
        <w:suppressLineNumbers w:val="0"/>
        <w:spacing w:line="368" w:lineRule="atLeast"/>
        <w:ind w:left="0" w:firstLine="480"/>
        <w:jc w:val="left"/>
        <w:rPr>
          <w:rFonts w:ascii="Times New Roman" w:hAnsi="Times New Roman" w:eastAsia="Times New Roman"/>
        </w:rPr>
      </w:pPr>
      <w:r>
        <w:rPr>
          <w:rFonts w:hint="eastAsia" w:ascii="宋体" w:hAnsi="宋体" w:eastAsia="宋体" w:cs="宋体"/>
          <w:b w:val="0"/>
          <w:i w:val="0"/>
          <w:caps w:val="0"/>
          <w:color w:val="333333"/>
          <w:spacing w:val="0"/>
          <w:kern w:val="0"/>
          <w:sz w:val="32"/>
          <w:szCs w:val="32"/>
          <w:shd w:val="clear" w:color="auto" w:fill="FFFFFF"/>
          <w:lang w:eastAsia="zh-CN"/>
        </w:rPr>
        <w:t>负责指导监督全县土地登记、房屋登记、林权登记等不动产登记工作，会同有关部门起草不动产统一登记规范性文件，建立不动产统一登记制度，拟订不动产权属争议调处政策；推进不动产登记信息基础平台建设。</w:t>
      </w:r>
    </w:p>
    <w:p>
      <w:pPr>
        <w:spacing w:line="0" w:lineRule="atLeast"/>
        <w:ind w:left="640"/>
        <w:rPr>
          <w:rFonts w:ascii="黑体" w:hAnsi="黑体" w:eastAsia="黑体"/>
          <w:sz w:val="32"/>
        </w:rPr>
      </w:pPr>
      <w:r>
        <w:rPr>
          <w:rFonts w:ascii="黑体" w:hAnsi="黑体" w:eastAsia="黑体"/>
          <w:sz w:val="32"/>
        </w:rPr>
        <w:t>二、部门决算单位构成</w:t>
      </w:r>
    </w:p>
    <w:p>
      <w:pPr>
        <w:spacing w:line="273" w:lineRule="exact"/>
        <w:rPr>
          <w:rFonts w:hint="eastAsia" w:ascii="宋体" w:hAnsi="宋体" w:eastAsia="宋体" w:cs="宋体"/>
          <w:sz w:val="32"/>
          <w:szCs w:val="32"/>
        </w:rPr>
      </w:pPr>
    </w:p>
    <w:p>
      <w:pPr>
        <w:keepNext w:val="0"/>
        <w:keepLines w:val="0"/>
        <w:pageBreakBefore w:val="0"/>
        <w:widowControl/>
        <w:kinsoku/>
        <w:wordWrap/>
        <w:overflowPunct/>
        <w:topLinePunct w:val="0"/>
        <w:autoSpaceDE/>
        <w:autoSpaceDN/>
        <w:bidi w:val="0"/>
        <w:adjustRightInd/>
        <w:snapToGrid/>
        <w:spacing w:line="360" w:lineRule="auto"/>
        <w:ind w:left="640" w:firstLine="640" w:firstLineChars="200"/>
        <w:textAlignment w:val="auto"/>
        <w:outlineLvl w:val="9"/>
        <w:rPr>
          <w:rFonts w:hint="eastAsia" w:ascii="宋体" w:hAnsi="宋体" w:eastAsia="宋体" w:cs="宋体"/>
          <w:color w:val="000000"/>
          <w:sz w:val="32"/>
          <w:szCs w:val="32"/>
          <w:highlight w:val="none"/>
        </w:rPr>
      </w:pPr>
      <w:r>
        <w:rPr>
          <w:rFonts w:hint="eastAsia" w:ascii="宋体" w:hAnsi="宋体" w:eastAsia="宋体" w:cs="宋体"/>
          <w:sz w:val="32"/>
          <w:szCs w:val="32"/>
        </w:rPr>
        <w:t>纳入</w:t>
      </w:r>
      <w:r>
        <w:rPr>
          <w:rFonts w:hint="eastAsia" w:ascii="黑体" w:hAnsi="黑体" w:eastAsia="黑体" w:cs="黑体"/>
          <w:b w:val="0"/>
          <w:bCs w:val="0"/>
          <w:sz w:val="32"/>
          <w:szCs w:val="32"/>
        </w:rPr>
        <w:t>濮阳县</w:t>
      </w:r>
      <w:r>
        <w:rPr>
          <w:rFonts w:hint="eastAsia" w:ascii="黑体" w:hAnsi="黑体" w:eastAsia="黑体" w:cs="黑体"/>
          <w:b w:val="0"/>
          <w:bCs w:val="0"/>
          <w:sz w:val="32"/>
          <w:szCs w:val="32"/>
          <w:lang w:eastAsia="zh-CN"/>
        </w:rPr>
        <w:t>国土资源局</w:t>
      </w:r>
      <w:r>
        <w:rPr>
          <w:rFonts w:hint="eastAsia" w:ascii="宋体" w:hAnsi="宋体" w:eastAsia="宋体" w:cs="宋体"/>
          <w:sz w:val="32"/>
          <w:szCs w:val="32"/>
        </w:rPr>
        <w:t>201</w:t>
      </w:r>
      <w:r>
        <w:rPr>
          <w:rFonts w:hint="eastAsia" w:ascii="宋体" w:hAnsi="宋体" w:eastAsia="宋体" w:cs="宋体"/>
          <w:sz w:val="32"/>
          <w:szCs w:val="32"/>
          <w:lang w:val="en-US" w:eastAsia="zh-CN"/>
        </w:rPr>
        <w:t>9</w:t>
      </w:r>
      <w:r>
        <w:rPr>
          <w:rFonts w:hint="eastAsia" w:ascii="宋体" w:hAnsi="宋体" w:eastAsia="宋体" w:cs="宋体"/>
          <w:sz w:val="32"/>
          <w:szCs w:val="32"/>
        </w:rPr>
        <w:t>年度部门决算编制范围的单位包括：</w:t>
      </w:r>
      <w:r>
        <w:rPr>
          <w:rFonts w:hint="eastAsia" w:ascii="黑体" w:hAnsi="黑体" w:eastAsia="黑体" w:cs="黑体"/>
          <w:b w:val="0"/>
          <w:bCs w:val="0"/>
          <w:sz w:val="32"/>
          <w:szCs w:val="32"/>
        </w:rPr>
        <w:t>濮阳县</w:t>
      </w:r>
      <w:r>
        <w:rPr>
          <w:rFonts w:hint="eastAsia" w:ascii="黑体" w:hAnsi="黑体" w:eastAsia="黑体" w:cs="黑体"/>
          <w:b w:val="0"/>
          <w:bCs w:val="0"/>
          <w:sz w:val="32"/>
          <w:szCs w:val="32"/>
          <w:lang w:eastAsia="zh-CN"/>
        </w:rPr>
        <w:t>国土资源局</w:t>
      </w:r>
      <w:r>
        <w:rPr>
          <w:rFonts w:hint="eastAsia" w:ascii="宋体" w:hAnsi="宋体" w:eastAsia="宋体" w:cs="宋体"/>
          <w:sz w:val="32"/>
          <w:szCs w:val="32"/>
        </w:rPr>
        <w:t>本级</w:t>
      </w:r>
      <w:r>
        <w:rPr>
          <w:rFonts w:hint="eastAsia" w:ascii="宋体" w:hAnsi="宋体" w:eastAsia="宋体" w:cs="宋体"/>
          <w:sz w:val="32"/>
          <w:szCs w:val="32"/>
          <w:lang w:eastAsia="zh-CN"/>
        </w:rPr>
        <w:t>，</w:t>
      </w:r>
      <w:r>
        <w:rPr>
          <w:rFonts w:hint="eastAsia" w:ascii="宋体" w:hAnsi="宋体" w:eastAsia="宋体" w:cs="宋体"/>
          <w:color w:val="000000"/>
          <w:sz w:val="32"/>
          <w:szCs w:val="32"/>
          <w:lang w:eastAsia="zh-CN"/>
        </w:rPr>
        <w:t>我单位下属二级预算单位：</w:t>
      </w:r>
      <w:r>
        <w:rPr>
          <w:rFonts w:hint="eastAsia" w:ascii="宋体" w:hAnsi="宋体" w:eastAsia="宋体" w:cs="宋体"/>
          <w:color w:val="000000"/>
          <w:sz w:val="32"/>
          <w:szCs w:val="32"/>
          <w:lang w:val="en-US" w:eastAsia="zh-CN"/>
        </w:rPr>
        <w:t>1.濮阳县国土资源局监察队；2.濮阳县土地开发整理中心</w:t>
      </w:r>
      <w:r>
        <w:rPr>
          <w:rFonts w:hint="eastAsia" w:ascii="宋体" w:hAnsi="宋体" w:eastAsia="宋体" w:cs="宋体"/>
          <w:color w:val="000000"/>
          <w:sz w:val="32"/>
          <w:szCs w:val="32"/>
          <w:lang w:eastAsia="zh-CN"/>
        </w:rPr>
        <w:t>，</w:t>
      </w:r>
      <w:r>
        <w:rPr>
          <w:rFonts w:hint="eastAsia" w:ascii="宋体" w:hAnsi="宋体" w:eastAsia="宋体" w:cs="宋体"/>
          <w:color w:val="000000"/>
          <w:sz w:val="32"/>
          <w:szCs w:val="32"/>
          <w:highlight w:val="none"/>
          <w:lang w:eastAsia="zh-CN"/>
        </w:rPr>
        <w:t>本级决算即汇总决算。</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57" w:lineRule="exact"/>
        <w:rPr>
          <w:rFonts w:ascii="Times New Roman" w:hAnsi="Times New Roman" w:eastAsia="Times New Roman"/>
        </w:rPr>
      </w:pPr>
    </w:p>
    <w:p>
      <w:pPr>
        <w:spacing w:line="354" w:lineRule="auto"/>
        <w:ind w:right="740"/>
        <w:jc w:val="center"/>
        <w:rPr>
          <w:rFonts w:ascii="微软雅黑" w:hAnsi="微软雅黑" w:eastAsia="微软雅黑"/>
          <w:sz w:val="48"/>
        </w:rPr>
      </w:pPr>
    </w:p>
    <w:p>
      <w:pPr>
        <w:spacing w:line="354" w:lineRule="auto"/>
        <w:ind w:right="740"/>
        <w:jc w:val="center"/>
        <w:rPr>
          <w:rFonts w:ascii="微软雅黑" w:hAnsi="微软雅黑" w:eastAsia="微软雅黑"/>
          <w:sz w:val="48"/>
        </w:rPr>
      </w:pPr>
    </w:p>
    <w:p>
      <w:pPr>
        <w:spacing w:line="354" w:lineRule="auto"/>
        <w:ind w:right="740"/>
        <w:jc w:val="center"/>
        <w:rPr>
          <w:rFonts w:ascii="微软雅黑" w:hAnsi="微软雅黑" w:eastAsia="微软雅黑"/>
          <w:sz w:val="48"/>
        </w:rPr>
      </w:pPr>
    </w:p>
    <w:p/>
    <w:p/>
    <w:p/>
    <w:p/>
    <w:p/>
    <w:p/>
    <w:p/>
    <w:p/>
    <w:p/>
    <w:p/>
    <w:p/>
    <w:p/>
    <w:p>
      <w:pPr>
        <w:spacing w:line="354" w:lineRule="auto"/>
        <w:ind w:right="740"/>
        <w:jc w:val="center"/>
        <w:rPr>
          <w:rFonts w:ascii="微软雅黑" w:hAnsi="微软雅黑" w:eastAsia="微软雅黑"/>
          <w:sz w:val="48"/>
        </w:rPr>
      </w:pPr>
    </w:p>
    <w:p>
      <w:pPr>
        <w:spacing w:line="354" w:lineRule="auto"/>
        <w:ind w:right="740"/>
        <w:jc w:val="center"/>
        <w:rPr>
          <w:rFonts w:ascii="微软雅黑" w:hAnsi="微软雅黑" w:eastAsia="微软雅黑"/>
          <w:sz w:val="48"/>
        </w:rPr>
      </w:pPr>
    </w:p>
    <w:p>
      <w:pPr>
        <w:spacing w:line="354" w:lineRule="auto"/>
        <w:ind w:right="740"/>
        <w:jc w:val="center"/>
        <w:rPr>
          <w:rFonts w:ascii="微软雅黑" w:hAnsi="微软雅黑" w:eastAsia="微软雅黑"/>
          <w:sz w:val="48"/>
        </w:rPr>
      </w:pPr>
    </w:p>
    <w:p>
      <w:pPr>
        <w:spacing w:line="354" w:lineRule="auto"/>
        <w:ind w:right="740"/>
        <w:jc w:val="center"/>
        <w:rPr>
          <w:rFonts w:ascii="微软雅黑" w:hAnsi="微软雅黑" w:eastAsia="微软雅黑"/>
          <w:sz w:val="48"/>
        </w:rPr>
      </w:pPr>
    </w:p>
    <w:p>
      <w:pPr>
        <w:spacing w:line="354" w:lineRule="auto"/>
        <w:ind w:right="740"/>
        <w:jc w:val="center"/>
        <w:rPr>
          <w:rFonts w:ascii="微软雅黑" w:hAnsi="微软雅黑" w:eastAsia="微软雅黑"/>
          <w:sz w:val="48"/>
        </w:rPr>
      </w:pPr>
    </w:p>
    <w:p>
      <w:pPr>
        <w:spacing w:line="354" w:lineRule="auto"/>
        <w:ind w:right="740"/>
        <w:jc w:val="center"/>
        <w:rPr>
          <w:rFonts w:hint="eastAsia" w:ascii="黑体" w:hAnsi="黑体" w:eastAsia="黑体" w:cs="黑体"/>
          <w:sz w:val="48"/>
          <w:szCs w:val="48"/>
        </w:rPr>
      </w:pPr>
      <w:r>
        <w:rPr>
          <w:rFonts w:hint="eastAsia" w:ascii="黑体" w:hAnsi="黑体" w:eastAsia="黑体" w:cs="黑体"/>
          <w:sz w:val="48"/>
          <w:szCs w:val="48"/>
          <w:lang w:val="en-US" w:eastAsia="zh-CN"/>
        </w:rPr>
        <w:t xml:space="preserve">    </w:t>
      </w:r>
      <w:r>
        <w:rPr>
          <w:rFonts w:hint="eastAsia" w:ascii="黑体" w:hAnsi="黑体" w:eastAsia="黑体" w:cs="黑体"/>
          <w:sz w:val="48"/>
          <w:szCs w:val="48"/>
        </w:rPr>
        <w:t>第二部分</w:t>
      </w:r>
      <w:r>
        <w:rPr>
          <w:rFonts w:hint="eastAsia" w:ascii="黑体" w:hAnsi="黑体" w:eastAsia="黑体" w:cs="黑体"/>
          <w:sz w:val="48"/>
          <w:szCs w:val="48"/>
          <w:lang w:val="en-US" w:eastAsia="zh-CN"/>
        </w:rPr>
        <w:t xml:space="preserve">   </w:t>
      </w:r>
    </w:p>
    <w:p>
      <w:pPr>
        <w:spacing w:line="354" w:lineRule="auto"/>
        <w:ind w:right="740" w:firstLine="1920" w:firstLineChars="400"/>
        <w:jc w:val="both"/>
        <w:rPr>
          <w:rFonts w:hint="eastAsia" w:ascii="黑体" w:hAnsi="黑体" w:eastAsia="黑体" w:cs="黑体"/>
          <w:sz w:val="48"/>
          <w:szCs w:val="48"/>
        </w:rPr>
      </w:pPr>
      <w:r>
        <w:rPr>
          <w:rFonts w:hint="eastAsia" w:ascii="黑体" w:hAnsi="黑体" w:eastAsia="黑体" w:cs="黑体"/>
          <w:sz w:val="48"/>
          <w:szCs w:val="48"/>
          <w:lang w:val="en-US" w:eastAsia="zh-CN"/>
        </w:rPr>
        <w:t xml:space="preserve"> </w:t>
      </w:r>
      <w:r>
        <w:rPr>
          <w:rFonts w:hint="eastAsia" w:ascii="黑体" w:hAnsi="黑体" w:eastAsia="黑体" w:cs="黑体"/>
          <w:sz w:val="48"/>
          <w:szCs w:val="48"/>
        </w:rPr>
        <w:t>201</w:t>
      </w:r>
      <w:r>
        <w:rPr>
          <w:rFonts w:hint="eastAsia" w:ascii="黑体" w:hAnsi="黑体" w:eastAsia="黑体" w:cs="黑体"/>
          <w:sz w:val="48"/>
          <w:szCs w:val="48"/>
          <w:lang w:val="en-US" w:eastAsia="zh-CN"/>
        </w:rPr>
        <w:t>9</w:t>
      </w:r>
      <w:r>
        <w:rPr>
          <w:rFonts w:hint="eastAsia" w:ascii="黑体" w:hAnsi="黑体" w:eastAsia="黑体" w:cs="黑体"/>
          <w:sz w:val="48"/>
          <w:szCs w:val="48"/>
        </w:rPr>
        <w:t xml:space="preserve"> 年度部门决算表</w:t>
      </w:r>
    </w:p>
    <w:p>
      <w:pPr>
        <w:spacing w:line="354" w:lineRule="auto"/>
        <w:ind w:left="600" w:right="740" w:firstLine="2842"/>
        <w:rPr>
          <w:rFonts w:ascii="微软雅黑" w:hAnsi="微软雅黑" w:eastAsia="微软雅黑"/>
          <w:sz w:val="48"/>
        </w:rPr>
        <w:sectPr>
          <w:pgSz w:w="11900" w:h="16838"/>
          <w:pgMar w:top="1440" w:right="1380" w:bottom="723" w:left="1580" w:header="0" w:footer="0" w:gutter="0"/>
          <w:pgNumType w:fmt="decimal"/>
          <w:cols w:space="720" w:num="1"/>
          <w:docGrid w:linePitch="360" w:charSpace="0"/>
        </w:sectPr>
      </w:pPr>
    </w:p>
    <w:tbl>
      <w:tblPr>
        <w:tblStyle w:val="7"/>
        <w:tblW w:w="14070" w:type="dxa"/>
        <w:tblInd w:w="0" w:type="dxa"/>
        <w:shd w:val="clear" w:color="auto" w:fill="auto"/>
        <w:tblLayout w:type="autofit"/>
        <w:tblCellMar>
          <w:top w:w="0" w:type="dxa"/>
          <w:left w:w="0" w:type="dxa"/>
          <w:bottom w:w="0" w:type="dxa"/>
          <w:right w:w="0" w:type="dxa"/>
        </w:tblCellMar>
      </w:tblPr>
      <w:tblGrid>
        <w:gridCol w:w="4662"/>
        <w:gridCol w:w="658"/>
        <w:gridCol w:w="1428"/>
        <w:gridCol w:w="4662"/>
        <w:gridCol w:w="658"/>
        <w:gridCol w:w="2002"/>
      </w:tblGrid>
      <w:tr>
        <w:tblPrEx>
          <w:shd w:val="clear" w:color="auto" w:fill="auto"/>
          <w:tblCellMar>
            <w:top w:w="0" w:type="dxa"/>
            <w:left w:w="0" w:type="dxa"/>
            <w:bottom w:w="0" w:type="dxa"/>
            <w:right w:w="0" w:type="dxa"/>
          </w:tblCellMar>
        </w:tblPrEx>
        <w:trPr>
          <w:trHeight w:val="390" w:hRule="atLeast"/>
        </w:trPr>
        <w:tc>
          <w:tcPr>
            <w:tcW w:w="14070" w:type="dxa"/>
            <w:gridSpan w:val="6"/>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收入支出决算总表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黑体" w:hAnsi="黑体" w:eastAsia="黑体" w:cs="黑体"/>
                <w:b w:val="0"/>
                <w:bCs w:val="0"/>
                <w:sz w:val="20"/>
                <w:szCs w:val="20"/>
              </w:rPr>
              <w:t>濮阳县</w:t>
            </w:r>
            <w:r>
              <w:rPr>
                <w:rFonts w:hint="eastAsia" w:ascii="黑体" w:hAnsi="黑体" w:eastAsia="黑体" w:cs="黑体"/>
                <w:b w:val="0"/>
                <w:bCs w:val="0"/>
                <w:sz w:val="20"/>
                <w:szCs w:val="20"/>
                <w:lang w:eastAsia="zh-CN"/>
              </w:rPr>
              <w:t>国土资源局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2,687.69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12,523.00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三、上级补助收入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四、事业收入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五、经营收入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六、附属单位上缴收入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七、其他收入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55.68</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12,523.00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2,611.00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15,210.69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15,210.69</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用事业基金弥补收支差额</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15,210.69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15,210.69</w:t>
            </w:r>
          </w:p>
        </w:tc>
      </w:tr>
      <w:tr>
        <w:tblPrEx>
          <w:tblCellMar>
            <w:top w:w="0" w:type="dxa"/>
            <w:left w:w="0" w:type="dxa"/>
            <w:bottom w:w="0" w:type="dxa"/>
            <w:right w:w="0" w:type="dxa"/>
          </w:tblCellMar>
        </w:tblPrEx>
        <w:trPr>
          <w:trHeight w:val="308" w:hRule="atLeast"/>
        </w:trPr>
        <w:tc>
          <w:tcPr>
            <w:tcW w:w="0" w:type="auto"/>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注：本表反映部门本年度的总收支和年末结转结余情况。本表金额转换为万元时，因四舍五入可能存在尾差。</w:t>
            </w:r>
          </w:p>
        </w:tc>
      </w:tr>
    </w:tbl>
    <w:p/>
    <w:p/>
    <w:p/>
    <w:p/>
    <w:p/>
    <w:p/>
    <w:p/>
    <w:p/>
    <w:p/>
    <w:p/>
    <w:p/>
    <w:p/>
    <w:p/>
    <w:tbl>
      <w:tblPr>
        <w:tblStyle w:val="7"/>
        <w:tblW w:w="5000" w:type="pct"/>
        <w:tblInd w:w="0" w:type="dxa"/>
        <w:shd w:val="clear" w:color="auto" w:fill="auto"/>
        <w:tblLayout w:type="autofit"/>
        <w:tblCellMar>
          <w:top w:w="0" w:type="dxa"/>
          <w:left w:w="0" w:type="dxa"/>
          <w:bottom w:w="0" w:type="dxa"/>
          <w:right w:w="0" w:type="dxa"/>
        </w:tblCellMar>
      </w:tblPr>
      <w:tblGrid>
        <w:gridCol w:w="2230"/>
        <w:gridCol w:w="36"/>
        <w:gridCol w:w="36"/>
        <w:gridCol w:w="5530"/>
        <w:gridCol w:w="1028"/>
        <w:gridCol w:w="1028"/>
        <w:gridCol w:w="1247"/>
        <w:gridCol w:w="474"/>
        <w:gridCol w:w="474"/>
        <w:gridCol w:w="474"/>
        <w:gridCol w:w="1431"/>
      </w:tblGrid>
      <w:tr>
        <w:tblPrEx>
          <w:shd w:val="clear" w:color="auto" w:fill="auto"/>
          <w:tblCellMar>
            <w:top w:w="0" w:type="dxa"/>
            <w:left w:w="0" w:type="dxa"/>
            <w:bottom w:w="0" w:type="dxa"/>
            <w:right w:w="0" w:type="dxa"/>
          </w:tblCellMar>
        </w:tblPrEx>
        <w:trPr>
          <w:trHeight w:val="390" w:hRule="atLeast"/>
        </w:trPr>
        <w:tc>
          <w:tcPr>
            <w:tcW w:w="5000" w:type="pct"/>
            <w:gridSpan w:val="11"/>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收入决算表</w:t>
            </w:r>
          </w:p>
        </w:tc>
      </w:tr>
      <w:tr>
        <w:tblPrEx>
          <w:tblCellMar>
            <w:top w:w="0" w:type="dxa"/>
            <w:left w:w="0" w:type="dxa"/>
            <w:bottom w:w="0" w:type="dxa"/>
            <w:right w:w="0" w:type="dxa"/>
          </w:tblCellMar>
        </w:tblPrEx>
        <w:trPr>
          <w:trHeight w:val="255" w:hRule="atLeast"/>
        </w:trPr>
        <w:tc>
          <w:tcPr>
            <w:tcW w:w="780"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937"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60"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60"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36"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6"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6"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6"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01"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CellMar>
            <w:top w:w="0" w:type="dxa"/>
            <w:left w:w="0" w:type="dxa"/>
            <w:bottom w:w="0" w:type="dxa"/>
            <w:right w:w="0" w:type="dxa"/>
          </w:tblCellMar>
        </w:tblPrEx>
        <w:trPr>
          <w:trHeight w:val="255" w:hRule="atLeast"/>
        </w:trPr>
        <w:tc>
          <w:tcPr>
            <w:tcW w:w="780"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黑体" w:hAnsi="黑体" w:eastAsia="黑体" w:cs="黑体"/>
                <w:b w:val="0"/>
                <w:bCs w:val="0"/>
                <w:sz w:val="20"/>
                <w:szCs w:val="20"/>
              </w:rPr>
              <w:t>濮阳县</w:t>
            </w:r>
            <w:r>
              <w:rPr>
                <w:rFonts w:hint="eastAsia" w:ascii="黑体" w:hAnsi="黑体" w:eastAsia="黑体" w:cs="黑体"/>
                <w:b w:val="0"/>
                <w:bCs w:val="0"/>
                <w:sz w:val="20"/>
                <w:szCs w:val="20"/>
                <w:lang w:eastAsia="zh-CN"/>
              </w:rPr>
              <w:t>国土资源局</w:t>
            </w:r>
          </w:p>
        </w:tc>
        <w:tc>
          <w:tcPr>
            <w:tcW w:w="12"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937"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60"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60"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36"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6"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6"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6"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01"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2743"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360"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360"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536"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166"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166"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166"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501"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CellMar>
            <w:top w:w="0" w:type="dxa"/>
            <w:left w:w="0" w:type="dxa"/>
            <w:bottom w:w="0" w:type="dxa"/>
            <w:right w:w="0" w:type="dxa"/>
          </w:tblCellMar>
        </w:tblPrEx>
        <w:trPr>
          <w:trHeight w:val="308" w:hRule="atLeast"/>
        </w:trPr>
        <w:tc>
          <w:tcPr>
            <w:tcW w:w="806" w:type="pct"/>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937" w:type="pct"/>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360"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0"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36"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6"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6"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6"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01"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06" w:type="pct"/>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37" w:type="pct"/>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0"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0"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36"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6"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6"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6"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01"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06" w:type="pct"/>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37" w:type="pct"/>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0"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0"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36"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6"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6"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6"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01"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743"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360"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60"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36"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66"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66"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66"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501"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308" w:hRule="atLeast"/>
        </w:trPr>
        <w:tc>
          <w:tcPr>
            <w:tcW w:w="2743"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15,210.69</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15,210.69</w:t>
            </w:r>
          </w:p>
        </w:tc>
        <w:tc>
          <w:tcPr>
            <w:tcW w:w="5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06"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193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w:t>
            </w:r>
          </w:p>
        </w:tc>
        <w:tc>
          <w:tcPr>
            <w:tcW w:w="5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06"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193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w:t>
            </w:r>
          </w:p>
        </w:tc>
        <w:tc>
          <w:tcPr>
            <w:tcW w:w="5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06"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193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w:t>
            </w:r>
          </w:p>
        </w:tc>
        <w:tc>
          <w:tcPr>
            <w:tcW w:w="5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06"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193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55.68</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55.68</w:t>
            </w:r>
          </w:p>
        </w:tc>
        <w:tc>
          <w:tcPr>
            <w:tcW w:w="5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06"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193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55.68</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55.68</w:t>
            </w:r>
          </w:p>
        </w:tc>
        <w:tc>
          <w:tcPr>
            <w:tcW w:w="5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06"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193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55.68</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55.68</w:t>
            </w:r>
          </w:p>
        </w:tc>
        <w:tc>
          <w:tcPr>
            <w:tcW w:w="5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06"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193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城乡社区支出</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12,523.00</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12,523.00</w:t>
            </w:r>
          </w:p>
        </w:tc>
        <w:tc>
          <w:tcPr>
            <w:tcW w:w="5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06"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w:t>
            </w:r>
          </w:p>
        </w:tc>
        <w:tc>
          <w:tcPr>
            <w:tcW w:w="193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国有土地使用权出让收入及对应专项债务收入安排的支出</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10,609.00</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10,609.00</w:t>
            </w:r>
          </w:p>
        </w:tc>
        <w:tc>
          <w:tcPr>
            <w:tcW w:w="5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06"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2120802</w:t>
            </w:r>
          </w:p>
        </w:tc>
        <w:tc>
          <w:tcPr>
            <w:tcW w:w="193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土地开发支出</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8,544.00</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8,544.00</w:t>
            </w:r>
          </w:p>
        </w:tc>
        <w:tc>
          <w:tcPr>
            <w:tcW w:w="5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06"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2120804</w:t>
            </w:r>
          </w:p>
        </w:tc>
        <w:tc>
          <w:tcPr>
            <w:tcW w:w="193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农村基础设施建设支出</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w:t>
            </w:r>
          </w:p>
        </w:tc>
        <w:tc>
          <w:tcPr>
            <w:tcW w:w="5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06"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2120806</w:t>
            </w:r>
          </w:p>
        </w:tc>
        <w:tc>
          <w:tcPr>
            <w:tcW w:w="193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土地出让业务支出</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509.00</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509.00</w:t>
            </w:r>
          </w:p>
        </w:tc>
        <w:tc>
          <w:tcPr>
            <w:tcW w:w="5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06"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2120809</w:t>
            </w:r>
          </w:p>
        </w:tc>
        <w:tc>
          <w:tcPr>
            <w:tcW w:w="193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支付破产或改制企业职工安置费</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1,026.00</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1,026.00</w:t>
            </w:r>
          </w:p>
        </w:tc>
        <w:tc>
          <w:tcPr>
            <w:tcW w:w="5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06"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2120899</w:t>
            </w:r>
          </w:p>
        </w:tc>
        <w:tc>
          <w:tcPr>
            <w:tcW w:w="193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其他国有土地使用权出让收入安排的支出</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330.00</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330.00</w:t>
            </w:r>
          </w:p>
        </w:tc>
        <w:tc>
          <w:tcPr>
            <w:tcW w:w="5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06"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21210</w:t>
            </w:r>
          </w:p>
        </w:tc>
        <w:tc>
          <w:tcPr>
            <w:tcW w:w="193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国有土地收益基金及对应专项债务收入安排的支出</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406.00</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406.00</w:t>
            </w:r>
          </w:p>
        </w:tc>
        <w:tc>
          <w:tcPr>
            <w:tcW w:w="5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06"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2121001</w:t>
            </w:r>
          </w:p>
        </w:tc>
        <w:tc>
          <w:tcPr>
            <w:tcW w:w="193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征地和拆迁补偿支出</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191.00</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191.00</w:t>
            </w:r>
          </w:p>
        </w:tc>
        <w:tc>
          <w:tcPr>
            <w:tcW w:w="5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06"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2121002</w:t>
            </w:r>
          </w:p>
        </w:tc>
        <w:tc>
          <w:tcPr>
            <w:tcW w:w="193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土地开发支出</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215.00</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215.00</w:t>
            </w:r>
          </w:p>
        </w:tc>
        <w:tc>
          <w:tcPr>
            <w:tcW w:w="5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06"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21211</w:t>
            </w:r>
          </w:p>
        </w:tc>
        <w:tc>
          <w:tcPr>
            <w:tcW w:w="193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农业土地开发资金安排的支出</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1,508.00</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1,508.00</w:t>
            </w:r>
          </w:p>
        </w:tc>
        <w:tc>
          <w:tcPr>
            <w:tcW w:w="5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06"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2121100</w:t>
            </w:r>
          </w:p>
        </w:tc>
        <w:tc>
          <w:tcPr>
            <w:tcW w:w="193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农业土地开发资金安排的支出</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1,508.00</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1,508.00</w:t>
            </w:r>
          </w:p>
        </w:tc>
        <w:tc>
          <w:tcPr>
            <w:tcW w:w="5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06"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w:t>
            </w:r>
          </w:p>
        </w:tc>
        <w:tc>
          <w:tcPr>
            <w:tcW w:w="193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自然资源海洋气象等支出</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2,611.00</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2,611.00</w:t>
            </w:r>
          </w:p>
        </w:tc>
        <w:tc>
          <w:tcPr>
            <w:tcW w:w="5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06"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22001</w:t>
            </w:r>
          </w:p>
        </w:tc>
        <w:tc>
          <w:tcPr>
            <w:tcW w:w="193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自然资源事务</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2,611.00</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2,611.00</w:t>
            </w:r>
          </w:p>
        </w:tc>
        <w:tc>
          <w:tcPr>
            <w:tcW w:w="5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06"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2200101</w:t>
            </w:r>
          </w:p>
        </w:tc>
        <w:tc>
          <w:tcPr>
            <w:tcW w:w="193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63.00</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63.00</w:t>
            </w:r>
          </w:p>
        </w:tc>
        <w:tc>
          <w:tcPr>
            <w:tcW w:w="5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06"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2200104</w:t>
            </w:r>
          </w:p>
        </w:tc>
        <w:tc>
          <w:tcPr>
            <w:tcW w:w="193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自然资源规划及管理</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w:t>
            </w:r>
          </w:p>
        </w:tc>
        <w:tc>
          <w:tcPr>
            <w:tcW w:w="5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06"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2200106</w:t>
            </w:r>
          </w:p>
        </w:tc>
        <w:tc>
          <w:tcPr>
            <w:tcW w:w="193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土地资源利用与保护</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181.00</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181.00</w:t>
            </w:r>
          </w:p>
        </w:tc>
        <w:tc>
          <w:tcPr>
            <w:tcW w:w="5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06"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2200108</w:t>
            </w:r>
          </w:p>
        </w:tc>
        <w:tc>
          <w:tcPr>
            <w:tcW w:w="193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自然资源行业业务管理</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147.00</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147.00</w:t>
            </w:r>
          </w:p>
        </w:tc>
        <w:tc>
          <w:tcPr>
            <w:tcW w:w="5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06"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2200109</w:t>
            </w:r>
          </w:p>
        </w:tc>
        <w:tc>
          <w:tcPr>
            <w:tcW w:w="193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自然资源调查</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5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06"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2200110</w:t>
            </w:r>
          </w:p>
        </w:tc>
        <w:tc>
          <w:tcPr>
            <w:tcW w:w="193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国土整治</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205.00</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205.00</w:t>
            </w:r>
          </w:p>
        </w:tc>
        <w:tc>
          <w:tcPr>
            <w:tcW w:w="5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06"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2200150</w:t>
            </w:r>
          </w:p>
        </w:tc>
        <w:tc>
          <w:tcPr>
            <w:tcW w:w="193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1,845.00</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1,845.00</w:t>
            </w:r>
          </w:p>
        </w:tc>
        <w:tc>
          <w:tcPr>
            <w:tcW w:w="5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06"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2200199</w:t>
            </w:r>
          </w:p>
        </w:tc>
        <w:tc>
          <w:tcPr>
            <w:tcW w:w="193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其他自然资源事务支出</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w:t>
            </w:r>
          </w:p>
        </w:tc>
        <w:tc>
          <w:tcPr>
            <w:tcW w:w="5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000" w:type="pct"/>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注：本表反映部门本年度取得的各项收入情况。本表金额转换为万元时，因四舍五入可能存在尾差。</w:t>
            </w:r>
          </w:p>
        </w:tc>
      </w:tr>
    </w:tbl>
    <w:p/>
    <w:p/>
    <w:p/>
    <w:p/>
    <w:p/>
    <w:p/>
    <w:p/>
    <w:p/>
    <w:p/>
    <w:p/>
    <w:tbl>
      <w:tblPr>
        <w:tblStyle w:val="7"/>
        <w:tblW w:w="4998" w:type="pct"/>
        <w:tblInd w:w="0" w:type="dxa"/>
        <w:shd w:val="clear" w:color="auto" w:fill="auto"/>
        <w:tblLayout w:type="autofit"/>
        <w:tblCellMar>
          <w:top w:w="0" w:type="dxa"/>
          <w:left w:w="0" w:type="dxa"/>
          <w:bottom w:w="0" w:type="dxa"/>
          <w:right w:w="0" w:type="dxa"/>
        </w:tblCellMar>
      </w:tblPr>
      <w:tblGrid>
        <w:gridCol w:w="2230"/>
        <w:gridCol w:w="36"/>
        <w:gridCol w:w="36"/>
        <w:gridCol w:w="5530"/>
        <w:gridCol w:w="1028"/>
        <w:gridCol w:w="1527"/>
        <w:gridCol w:w="1028"/>
        <w:gridCol w:w="474"/>
        <w:gridCol w:w="658"/>
        <w:gridCol w:w="1435"/>
      </w:tblGrid>
      <w:tr>
        <w:tblPrEx>
          <w:shd w:val="clear" w:color="auto" w:fill="auto"/>
          <w:tblCellMar>
            <w:top w:w="0" w:type="dxa"/>
            <w:left w:w="0" w:type="dxa"/>
            <w:bottom w:w="0" w:type="dxa"/>
            <w:right w:w="0" w:type="dxa"/>
          </w:tblCellMar>
        </w:tblPrEx>
        <w:trPr>
          <w:trHeight w:val="390" w:hRule="atLeast"/>
        </w:trPr>
        <w:tc>
          <w:tcPr>
            <w:tcW w:w="5000" w:type="pct"/>
            <w:gridSpan w:val="10"/>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支出决算表</w:t>
            </w:r>
          </w:p>
        </w:tc>
      </w:tr>
      <w:tr>
        <w:tblPrEx>
          <w:tblCellMar>
            <w:top w:w="0" w:type="dxa"/>
            <w:left w:w="0" w:type="dxa"/>
            <w:bottom w:w="0" w:type="dxa"/>
            <w:right w:w="0" w:type="dxa"/>
          </w:tblCellMar>
        </w:tblPrEx>
        <w:trPr>
          <w:trHeight w:val="255" w:hRule="atLeast"/>
        </w:trPr>
        <w:tc>
          <w:tcPr>
            <w:tcW w:w="797"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977"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67"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47"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67"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9"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36"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11"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CellMar>
            <w:top w:w="0" w:type="dxa"/>
            <w:left w:w="0" w:type="dxa"/>
            <w:bottom w:w="0" w:type="dxa"/>
            <w:right w:w="0" w:type="dxa"/>
          </w:tblCellMar>
        </w:tblPrEx>
        <w:trPr>
          <w:trHeight w:val="255" w:hRule="atLeast"/>
        </w:trPr>
        <w:tc>
          <w:tcPr>
            <w:tcW w:w="797"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黑体" w:hAnsi="黑体" w:eastAsia="黑体" w:cs="黑体"/>
                <w:b w:val="0"/>
                <w:bCs w:val="0"/>
                <w:sz w:val="20"/>
                <w:szCs w:val="20"/>
              </w:rPr>
              <w:t>濮阳县</w:t>
            </w:r>
            <w:r>
              <w:rPr>
                <w:rFonts w:hint="eastAsia" w:ascii="黑体" w:hAnsi="黑体" w:eastAsia="黑体" w:cs="黑体"/>
                <w:b w:val="0"/>
                <w:bCs w:val="0"/>
                <w:sz w:val="20"/>
                <w:szCs w:val="20"/>
                <w:lang w:eastAsia="zh-CN"/>
              </w:rPr>
              <w:t>国土资源局</w:t>
            </w:r>
          </w:p>
        </w:tc>
        <w:tc>
          <w:tcPr>
            <w:tcW w:w="12"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977"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67"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47"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67"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9"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36"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11"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2800"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367"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547"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367"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69"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236"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511"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CellMar>
            <w:top w:w="0" w:type="dxa"/>
            <w:left w:w="0" w:type="dxa"/>
            <w:bottom w:w="0" w:type="dxa"/>
            <w:right w:w="0" w:type="dxa"/>
          </w:tblCellMar>
        </w:tblPrEx>
        <w:trPr>
          <w:trHeight w:val="308" w:hRule="atLeast"/>
        </w:trPr>
        <w:tc>
          <w:tcPr>
            <w:tcW w:w="823" w:type="pct"/>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977" w:type="pct"/>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367"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47"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7"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9"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6"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1"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23" w:type="pct"/>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77" w:type="pct"/>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7"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47"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7"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9"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6"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1"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23" w:type="pct"/>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77" w:type="pct"/>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7"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47"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7"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9"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6"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1"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800"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367"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7"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67"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69"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36"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11"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2800"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15,210.69</w:t>
            </w:r>
          </w:p>
        </w:tc>
        <w:tc>
          <w:tcPr>
            <w:tcW w:w="5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3,196.69</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12,014.00</w:t>
            </w:r>
          </w:p>
        </w:tc>
        <w:tc>
          <w:tcPr>
            <w:tcW w:w="16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2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23"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19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w:t>
            </w:r>
          </w:p>
        </w:tc>
        <w:tc>
          <w:tcPr>
            <w:tcW w:w="5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23"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19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w:t>
            </w:r>
          </w:p>
        </w:tc>
        <w:tc>
          <w:tcPr>
            <w:tcW w:w="5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23"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19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w:t>
            </w:r>
          </w:p>
        </w:tc>
        <w:tc>
          <w:tcPr>
            <w:tcW w:w="5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23"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19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55.68</w:t>
            </w:r>
          </w:p>
        </w:tc>
        <w:tc>
          <w:tcPr>
            <w:tcW w:w="5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55.68</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23"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19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55.68</w:t>
            </w:r>
          </w:p>
        </w:tc>
        <w:tc>
          <w:tcPr>
            <w:tcW w:w="5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55.68</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23"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19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55.68</w:t>
            </w:r>
          </w:p>
        </w:tc>
        <w:tc>
          <w:tcPr>
            <w:tcW w:w="5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55.68</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23"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19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城乡社区支出</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12,523.00</w:t>
            </w:r>
          </w:p>
        </w:tc>
        <w:tc>
          <w:tcPr>
            <w:tcW w:w="5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509.00</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12,014.00</w:t>
            </w:r>
          </w:p>
        </w:tc>
        <w:tc>
          <w:tcPr>
            <w:tcW w:w="16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23"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w:t>
            </w:r>
          </w:p>
        </w:tc>
        <w:tc>
          <w:tcPr>
            <w:tcW w:w="19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国有土地使用权出让收入及对应专项债务收入安排的支出</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10,609.00</w:t>
            </w:r>
          </w:p>
        </w:tc>
        <w:tc>
          <w:tcPr>
            <w:tcW w:w="5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509.00</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10,100.00</w:t>
            </w:r>
          </w:p>
        </w:tc>
        <w:tc>
          <w:tcPr>
            <w:tcW w:w="16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23"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2120802</w:t>
            </w:r>
          </w:p>
        </w:tc>
        <w:tc>
          <w:tcPr>
            <w:tcW w:w="19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土地开发支出</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8,544.00</w:t>
            </w:r>
          </w:p>
        </w:tc>
        <w:tc>
          <w:tcPr>
            <w:tcW w:w="5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8,544.00</w:t>
            </w:r>
          </w:p>
        </w:tc>
        <w:tc>
          <w:tcPr>
            <w:tcW w:w="16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23"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2120804</w:t>
            </w:r>
          </w:p>
        </w:tc>
        <w:tc>
          <w:tcPr>
            <w:tcW w:w="19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农村基础设施建设支出</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w:t>
            </w:r>
          </w:p>
        </w:tc>
        <w:tc>
          <w:tcPr>
            <w:tcW w:w="5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w:t>
            </w:r>
          </w:p>
        </w:tc>
        <w:tc>
          <w:tcPr>
            <w:tcW w:w="16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23"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2120806</w:t>
            </w:r>
          </w:p>
        </w:tc>
        <w:tc>
          <w:tcPr>
            <w:tcW w:w="19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土地出让业务支出</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509.00</w:t>
            </w:r>
          </w:p>
        </w:tc>
        <w:tc>
          <w:tcPr>
            <w:tcW w:w="5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509.00</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23"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2120809</w:t>
            </w:r>
          </w:p>
        </w:tc>
        <w:tc>
          <w:tcPr>
            <w:tcW w:w="19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支付破产或改制企业职工安置费</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1,026.00</w:t>
            </w:r>
          </w:p>
        </w:tc>
        <w:tc>
          <w:tcPr>
            <w:tcW w:w="5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1,026.00</w:t>
            </w:r>
          </w:p>
        </w:tc>
        <w:tc>
          <w:tcPr>
            <w:tcW w:w="16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23"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2120899</w:t>
            </w:r>
          </w:p>
        </w:tc>
        <w:tc>
          <w:tcPr>
            <w:tcW w:w="19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其他国有土地使用权出让收入安排的支出</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330.00</w:t>
            </w:r>
          </w:p>
        </w:tc>
        <w:tc>
          <w:tcPr>
            <w:tcW w:w="5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330.00</w:t>
            </w:r>
          </w:p>
        </w:tc>
        <w:tc>
          <w:tcPr>
            <w:tcW w:w="16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23"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21210</w:t>
            </w:r>
          </w:p>
        </w:tc>
        <w:tc>
          <w:tcPr>
            <w:tcW w:w="19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国有土地收益基金及对应专项债务收入安排的支出</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406.00</w:t>
            </w:r>
          </w:p>
        </w:tc>
        <w:tc>
          <w:tcPr>
            <w:tcW w:w="5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406.00</w:t>
            </w:r>
          </w:p>
        </w:tc>
        <w:tc>
          <w:tcPr>
            <w:tcW w:w="16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23"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2121001</w:t>
            </w:r>
          </w:p>
        </w:tc>
        <w:tc>
          <w:tcPr>
            <w:tcW w:w="19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征地和拆迁补偿支出</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191.00</w:t>
            </w:r>
          </w:p>
        </w:tc>
        <w:tc>
          <w:tcPr>
            <w:tcW w:w="5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191.00</w:t>
            </w:r>
          </w:p>
        </w:tc>
        <w:tc>
          <w:tcPr>
            <w:tcW w:w="16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23"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2121002</w:t>
            </w:r>
          </w:p>
        </w:tc>
        <w:tc>
          <w:tcPr>
            <w:tcW w:w="19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土地开发支出</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215.00</w:t>
            </w:r>
          </w:p>
        </w:tc>
        <w:tc>
          <w:tcPr>
            <w:tcW w:w="5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215.00</w:t>
            </w:r>
          </w:p>
        </w:tc>
        <w:tc>
          <w:tcPr>
            <w:tcW w:w="16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23"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21211</w:t>
            </w:r>
          </w:p>
        </w:tc>
        <w:tc>
          <w:tcPr>
            <w:tcW w:w="19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农业土地开发资金安排的支出</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1,508.00</w:t>
            </w:r>
          </w:p>
        </w:tc>
        <w:tc>
          <w:tcPr>
            <w:tcW w:w="5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1,508.00</w:t>
            </w:r>
          </w:p>
        </w:tc>
        <w:tc>
          <w:tcPr>
            <w:tcW w:w="16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23"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2121100</w:t>
            </w:r>
          </w:p>
        </w:tc>
        <w:tc>
          <w:tcPr>
            <w:tcW w:w="19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农业土地开发资金安排的支出</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1,508.00</w:t>
            </w:r>
          </w:p>
        </w:tc>
        <w:tc>
          <w:tcPr>
            <w:tcW w:w="5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1,508.00</w:t>
            </w:r>
          </w:p>
        </w:tc>
        <w:tc>
          <w:tcPr>
            <w:tcW w:w="16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23"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w:t>
            </w:r>
          </w:p>
        </w:tc>
        <w:tc>
          <w:tcPr>
            <w:tcW w:w="19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自然资源海洋气象等支出</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2,611.00</w:t>
            </w:r>
          </w:p>
        </w:tc>
        <w:tc>
          <w:tcPr>
            <w:tcW w:w="5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2,611.00</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23"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22001</w:t>
            </w:r>
          </w:p>
        </w:tc>
        <w:tc>
          <w:tcPr>
            <w:tcW w:w="19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自然资源事务</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2,611.00</w:t>
            </w:r>
          </w:p>
        </w:tc>
        <w:tc>
          <w:tcPr>
            <w:tcW w:w="5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2,611.00</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23"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2200101</w:t>
            </w:r>
          </w:p>
        </w:tc>
        <w:tc>
          <w:tcPr>
            <w:tcW w:w="19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63.00</w:t>
            </w:r>
          </w:p>
        </w:tc>
        <w:tc>
          <w:tcPr>
            <w:tcW w:w="5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63.00</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23"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2200104</w:t>
            </w:r>
          </w:p>
        </w:tc>
        <w:tc>
          <w:tcPr>
            <w:tcW w:w="19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自然资源规划及管理</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w:t>
            </w:r>
          </w:p>
        </w:tc>
        <w:tc>
          <w:tcPr>
            <w:tcW w:w="5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23"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2200106</w:t>
            </w:r>
          </w:p>
        </w:tc>
        <w:tc>
          <w:tcPr>
            <w:tcW w:w="19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土地资源利用与保护</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181.00</w:t>
            </w:r>
          </w:p>
        </w:tc>
        <w:tc>
          <w:tcPr>
            <w:tcW w:w="5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181.00</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23"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2200108</w:t>
            </w:r>
          </w:p>
        </w:tc>
        <w:tc>
          <w:tcPr>
            <w:tcW w:w="19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自然资源行业业务管理</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147.00</w:t>
            </w:r>
          </w:p>
        </w:tc>
        <w:tc>
          <w:tcPr>
            <w:tcW w:w="5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147.00</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23"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2200109</w:t>
            </w:r>
          </w:p>
        </w:tc>
        <w:tc>
          <w:tcPr>
            <w:tcW w:w="19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自然资源调查</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5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23"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2200110</w:t>
            </w:r>
          </w:p>
        </w:tc>
        <w:tc>
          <w:tcPr>
            <w:tcW w:w="19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国土整治</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205.00</w:t>
            </w:r>
          </w:p>
        </w:tc>
        <w:tc>
          <w:tcPr>
            <w:tcW w:w="5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205.00</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23"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2200150</w:t>
            </w:r>
          </w:p>
        </w:tc>
        <w:tc>
          <w:tcPr>
            <w:tcW w:w="19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1,845.00</w:t>
            </w:r>
          </w:p>
        </w:tc>
        <w:tc>
          <w:tcPr>
            <w:tcW w:w="5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1,845.00</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23"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2200199</w:t>
            </w:r>
          </w:p>
        </w:tc>
        <w:tc>
          <w:tcPr>
            <w:tcW w:w="19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其他自然资源事务支出</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w:t>
            </w:r>
          </w:p>
        </w:tc>
        <w:tc>
          <w:tcPr>
            <w:tcW w:w="5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000" w:type="pct"/>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注：本表反映部门本年度各项支出情况。本表金额转换为万元时，因四舍五入可能存在尾差。</w:t>
            </w:r>
          </w:p>
        </w:tc>
      </w:tr>
    </w:tbl>
    <w:p/>
    <w:p/>
    <w:p/>
    <w:p/>
    <w:p/>
    <w:p/>
    <w:p/>
    <w:p/>
    <w:p/>
    <w:p/>
    <w:tbl>
      <w:tblPr>
        <w:tblStyle w:val="7"/>
        <w:tblW w:w="14790" w:type="dxa"/>
        <w:tblInd w:w="0" w:type="dxa"/>
        <w:shd w:val="clear" w:color="auto" w:fill="auto"/>
        <w:tblLayout w:type="autofit"/>
        <w:tblCellMar>
          <w:top w:w="0" w:type="dxa"/>
          <w:left w:w="0" w:type="dxa"/>
          <w:bottom w:w="0" w:type="dxa"/>
          <w:right w:w="0" w:type="dxa"/>
        </w:tblCellMar>
      </w:tblPr>
      <w:tblGrid>
        <w:gridCol w:w="3270"/>
        <w:gridCol w:w="570"/>
        <w:gridCol w:w="1680"/>
        <w:gridCol w:w="3660"/>
        <w:gridCol w:w="570"/>
        <w:gridCol w:w="1680"/>
        <w:gridCol w:w="1680"/>
        <w:gridCol w:w="1680"/>
      </w:tblGrid>
      <w:tr>
        <w:tblPrEx>
          <w:shd w:val="clear" w:color="auto" w:fill="auto"/>
          <w:tblCellMar>
            <w:top w:w="0" w:type="dxa"/>
            <w:left w:w="0" w:type="dxa"/>
            <w:bottom w:w="0" w:type="dxa"/>
            <w:right w:w="0" w:type="dxa"/>
          </w:tblCellMar>
        </w:tblPrEx>
        <w:trPr>
          <w:trHeight w:val="390" w:hRule="atLeast"/>
        </w:trPr>
        <w:tc>
          <w:tcPr>
            <w:tcW w:w="3270"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5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66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财政拨款收入支出决算总表</w:t>
            </w:r>
          </w:p>
        </w:tc>
        <w:tc>
          <w:tcPr>
            <w:tcW w:w="5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黑体" w:hAnsi="黑体" w:eastAsia="黑体" w:cs="黑体"/>
                <w:b w:val="0"/>
                <w:bCs w:val="0"/>
                <w:sz w:val="20"/>
                <w:szCs w:val="20"/>
              </w:rPr>
              <w:t>濮阳县</w:t>
            </w:r>
            <w:r>
              <w:rPr>
                <w:rFonts w:hint="eastAsia" w:ascii="黑体" w:hAnsi="黑体" w:eastAsia="黑体" w:cs="黑体"/>
                <w:b w:val="0"/>
                <w:bCs w:val="0"/>
                <w:sz w:val="20"/>
                <w:szCs w:val="20"/>
                <w:lang w:eastAsia="zh-CN"/>
              </w:rPr>
              <w:t>国土资源局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0" w:type="auto"/>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CellMar>
            <w:top w:w="0" w:type="dxa"/>
            <w:left w:w="0" w:type="dxa"/>
            <w:bottom w:w="0" w:type="dxa"/>
            <w:right w:w="0" w:type="dxa"/>
          </w:tblCellMar>
        </w:tblPrEx>
        <w:trPr>
          <w:trHeight w:val="292" w:hRule="atLeast"/>
        </w:trPr>
        <w:tc>
          <w:tcPr>
            <w:tcW w:w="327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68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66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168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r>
      <w:tr>
        <w:tblPrEx>
          <w:tblCellMar>
            <w:top w:w="0" w:type="dxa"/>
            <w:left w:w="0" w:type="dxa"/>
            <w:bottom w:w="0" w:type="dxa"/>
            <w:right w:w="0" w:type="dxa"/>
          </w:tblCellMar>
        </w:tblPrEx>
        <w:trPr>
          <w:trHeight w:val="615" w:hRule="atLeast"/>
        </w:trPr>
        <w:tc>
          <w:tcPr>
            <w:tcW w:w="32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6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2,687.69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12,523.00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55.68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55.68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12,523.00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12,523.00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15,210.69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15,210.69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2,687.69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12,523.00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15,210.69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15,210.69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2,687.69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12,523.00</w:t>
            </w:r>
          </w:p>
        </w:tc>
      </w:tr>
      <w:tr>
        <w:tblPrEx>
          <w:tblCellMar>
            <w:top w:w="0" w:type="dxa"/>
            <w:left w:w="0" w:type="dxa"/>
            <w:bottom w:w="0" w:type="dxa"/>
            <w:right w:w="0" w:type="dxa"/>
          </w:tblCellMar>
        </w:tblPrEx>
        <w:trPr>
          <w:trHeight w:val="554" w:hRule="atLeast"/>
        </w:trPr>
        <w:tc>
          <w:tcPr>
            <w:tcW w:w="14790"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注：本表反映部门本年度一般公共预算财政拨款和政府性基金预算财政拨款的总收支和年末结转结余情况。本表金额转换为万元时，因四舍五入可能存在尾差。</w:t>
            </w:r>
          </w:p>
        </w:tc>
      </w:tr>
    </w:tbl>
    <w:p/>
    <w:p/>
    <w:p/>
    <w:p/>
    <w:p/>
    <w:p/>
    <w:p/>
    <w:p/>
    <w:p/>
    <w:tbl>
      <w:tblPr>
        <w:tblStyle w:val="7"/>
        <w:tblW w:w="13570" w:type="dxa"/>
        <w:tblInd w:w="0" w:type="dxa"/>
        <w:shd w:val="clear" w:color="auto" w:fill="auto"/>
        <w:tblLayout w:type="autofit"/>
        <w:tblCellMar>
          <w:top w:w="0" w:type="dxa"/>
          <w:left w:w="0" w:type="dxa"/>
          <w:bottom w:w="0" w:type="dxa"/>
          <w:right w:w="0" w:type="dxa"/>
        </w:tblCellMar>
      </w:tblPr>
      <w:tblGrid>
        <w:gridCol w:w="2904"/>
        <w:gridCol w:w="47"/>
        <w:gridCol w:w="47"/>
        <w:gridCol w:w="4050"/>
        <w:gridCol w:w="2063"/>
        <w:gridCol w:w="2063"/>
        <w:gridCol w:w="2396"/>
      </w:tblGrid>
      <w:tr>
        <w:tblPrEx>
          <w:shd w:val="clear" w:color="auto" w:fill="auto"/>
          <w:tblCellMar>
            <w:top w:w="0" w:type="dxa"/>
            <w:left w:w="0" w:type="dxa"/>
            <w:bottom w:w="0" w:type="dxa"/>
            <w:right w:w="0" w:type="dxa"/>
          </w:tblCellMar>
        </w:tblPrEx>
        <w:trPr>
          <w:trHeight w:val="390" w:hRule="atLeast"/>
        </w:trPr>
        <w:tc>
          <w:tcPr>
            <w:tcW w:w="13570" w:type="dxa"/>
            <w:gridSpan w:val="7"/>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黑体" w:hAnsi="黑体" w:eastAsia="黑体" w:cs="黑体"/>
                <w:b w:val="0"/>
                <w:bCs w:val="0"/>
                <w:sz w:val="20"/>
                <w:szCs w:val="20"/>
              </w:rPr>
              <w:t>濮阳县</w:t>
            </w:r>
            <w:r>
              <w:rPr>
                <w:rFonts w:hint="eastAsia" w:ascii="黑体" w:hAnsi="黑体" w:eastAsia="黑体" w:cs="黑体"/>
                <w:b w:val="0"/>
                <w:bCs w:val="0"/>
                <w:sz w:val="20"/>
                <w:szCs w:val="20"/>
                <w:lang w:eastAsia="zh-CN"/>
              </w:rPr>
              <w:t>国土资源局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67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308" w:hRule="atLeast"/>
        </w:trPr>
        <w:tc>
          <w:tcPr>
            <w:tcW w:w="2890"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2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22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2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277" w:hRule="atLeast"/>
        </w:trPr>
        <w:tc>
          <w:tcPr>
            <w:tcW w:w="289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89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2,687.69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2,687.69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55.68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55.68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55.68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55.68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55.68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55.68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自然资源海洋气象等支出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自然资源事务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2200104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自然资源规划及管理</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2200106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土地资源利用与保护</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2200108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自然资源行业业务管理</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2200109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自然资源调查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2200110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国土整治</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2200150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1,845.00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1,845.00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2200199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其他自然资源事务支出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注：本表反映部门本年度一般公共预算财政拨款支出情况。本表金额转换为万元时，因四舍五入可能存在尾差。</w:t>
            </w:r>
          </w:p>
        </w:tc>
      </w:tr>
    </w:tbl>
    <w:p/>
    <w:p/>
    <w:p/>
    <w:p/>
    <w:p/>
    <w:p/>
    <w:p/>
    <w:p/>
    <w:p/>
    <w:p/>
    <w:p/>
    <w:p/>
    <w:p/>
    <w:p/>
    <w:p/>
    <w:p/>
    <w:p/>
    <w:p/>
    <w:p/>
    <w:p/>
    <w:p/>
    <w:p/>
    <w:p/>
    <w:tbl>
      <w:tblPr>
        <w:tblStyle w:val="7"/>
        <w:tblW w:w="5000" w:type="pct"/>
        <w:tblInd w:w="0" w:type="dxa"/>
        <w:shd w:val="clear" w:color="auto" w:fill="auto"/>
        <w:tblLayout w:type="fixed"/>
        <w:tblCellMar>
          <w:top w:w="0" w:type="dxa"/>
          <w:left w:w="0" w:type="dxa"/>
          <w:bottom w:w="0" w:type="dxa"/>
          <w:right w:w="0" w:type="dxa"/>
        </w:tblCellMar>
      </w:tblPr>
      <w:tblGrid>
        <w:gridCol w:w="2537"/>
        <w:gridCol w:w="1877"/>
        <w:gridCol w:w="1220"/>
        <w:gridCol w:w="835"/>
        <w:gridCol w:w="1613"/>
        <w:gridCol w:w="862"/>
        <w:gridCol w:w="765"/>
        <w:gridCol w:w="3151"/>
        <w:gridCol w:w="1128"/>
      </w:tblGrid>
      <w:tr>
        <w:tblPrEx>
          <w:shd w:val="clear" w:color="auto" w:fill="auto"/>
          <w:tblCellMar>
            <w:top w:w="0" w:type="dxa"/>
            <w:left w:w="0" w:type="dxa"/>
            <w:bottom w:w="0" w:type="dxa"/>
            <w:right w:w="0" w:type="dxa"/>
          </w:tblCellMar>
        </w:tblPrEx>
        <w:trPr>
          <w:trHeight w:val="390" w:hRule="atLeast"/>
        </w:trPr>
        <w:tc>
          <w:tcPr>
            <w:tcW w:w="5000" w:type="pct"/>
            <w:gridSpan w:val="9"/>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一般公共预算财政拨款基本支出决算表</w:t>
            </w:r>
          </w:p>
        </w:tc>
      </w:tr>
      <w:tr>
        <w:tblPrEx>
          <w:tblCellMar>
            <w:top w:w="0" w:type="dxa"/>
            <w:left w:w="0" w:type="dxa"/>
            <w:bottom w:w="0" w:type="dxa"/>
            <w:right w:w="0" w:type="dxa"/>
          </w:tblCellMar>
        </w:tblPrEx>
        <w:trPr>
          <w:trHeight w:val="255" w:hRule="atLeast"/>
        </w:trPr>
        <w:tc>
          <w:tcPr>
            <w:tcW w:w="906"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70"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36"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98"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76"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08"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73"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26"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03"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tblCellMar>
            <w:top w:w="0" w:type="dxa"/>
            <w:left w:w="0" w:type="dxa"/>
            <w:bottom w:w="0" w:type="dxa"/>
            <w:right w:w="0" w:type="dxa"/>
          </w:tblCellMar>
        </w:tblPrEx>
        <w:trPr>
          <w:trHeight w:val="255" w:hRule="atLeast"/>
        </w:trPr>
        <w:tc>
          <w:tcPr>
            <w:tcW w:w="906"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黑体" w:hAnsi="黑体" w:eastAsia="黑体" w:cs="黑体"/>
                <w:b w:val="0"/>
                <w:bCs w:val="0"/>
                <w:sz w:val="20"/>
                <w:szCs w:val="20"/>
              </w:rPr>
              <w:t>濮阳县</w:t>
            </w:r>
            <w:r>
              <w:rPr>
                <w:rFonts w:hint="eastAsia" w:ascii="黑体" w:hAnsi="黑体" w:eastAsia="黑体" w:cs="黑体"/>
                <w:b w:val="0"/>
                <w:bCs w:val="0"/>
                <w:sz w:val="20"/>
                <w:szCs w:val="20"/>
                <w:lang w:eastAsia="zh-CN"/>
              </w:rPr>
              <w:t>国土资源局</w:t>
            </w:r>
          </w:p>
        </w:tc>
        <w:tc>
          <w:tcPr>
            <w:tcW w:w="670"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36"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98"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76"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08"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73"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26"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03"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CellMar>
            <w:top w:w="0" w:type="dxa"/>
            <w:left w:w="0" w:type="dxa"/>
            <w:bottom w:w="0" w:type="dxa"/>
            <w:right w:w="0" w:type="dxa"/>
          </w:tblCellMar>
        </w:tblPrEx>
        <w:trPr>
          <w:trHeight w:val="308" w:hRule="atLeast"/>
        </w:trPr>
        <w:tc>
          <w:tcPr>
            <w:tcW w:w="2013"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2986" w:type="pct"/>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CellMar>
            <w:top w:w="0" w:type="dxa"/>
            <w:left w:w="0" w:type="dxa"/>
            <w:bottom w:w="0" w:type="dxa"/>
            <w:right w:w="0" w:type="dxa"/>
          </w:tblCellMar>
        </w:tblPrEx>
        <w:trPr>
          <w:trHeight w:val="308" w:hRule="atLeast"/>
        </w:trPr>
        <w:tc>
          <w:tcPr>
            <w:tcW w:w="906" w:type="pct"/>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670" w:type="pct"/>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436" w:type="pct"/>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298" w:type="pct"/>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576" w:type="pct"/>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308" w:type="pct"/>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273" w:type="pct"/>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126" w:type="pct"/>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403" w:type="pct"/>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trPr>
        <w:tc>
          <w:tcPr>
            <w:tcW w:w="906"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0"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6"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8"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6"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8"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73"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6"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3"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0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67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4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1,712.21</w:t>
            </w:r>
          </w:p>
        </w:tc>
        <w:tc>
          <w:tcPr>
            <w:tcW w:w="2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5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30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954.47</w:t>
            </w:r>
          </w:p>
        </w:tc>
        <w:tc>
          <w:tcPr>
            <w:tcW w:w="27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112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4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0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67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4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1,132.66</w:t>
            </w:r>
          </w:p>
        </w:tc>
        <w:tc>
          <w:tcPr>
            <w:tcW w:w="2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5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30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116.86</w:t>
            </w:r>
          </w:p>
        </w:tc>
        <w:tc>
          <w:tcPr>
            <w:tcW w:w="27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112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4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0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67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4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93.00</w:t>
            </w:r>
          </w:p>
        </w:tc>
        <w:tc>
          <w:tcPr>
            <w:tcW w:w="2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5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30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55.14</w:t>
            </w:r>
          </w:p>
        </w:tc>
        <w:tc>
          <w:tcPr>
            <w:tcW w:w="27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112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4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0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67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4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5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30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112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4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0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67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4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5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30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112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4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0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67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4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226.92</w:t>
            </w:r>
          </w:p>
        </w:tc>
        <w:tc>
          <w:tcPr>
            <w:tcW w:w="2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5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30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27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112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4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0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67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4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72.22</w:t>
            </w:r>
          </w:p>
        </w:tc>
        <w:tc>
          <w:tcPr>
            <w:tcW w:w="2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5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30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21.50</w:t>
            </w:r>
          </w:p>
        </w:tc>
        <w:tc>
          <w:tcPr>
            <w:tcW w:w="27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112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4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0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67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4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36.19</w:t>
            </w:r>
          </w:p>
        </w:tc>
        <w:tc>
          <w:tcPr>
            <w:tcW w:w="2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5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30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46.20</w:t>
            </w:r>
          </w:p>
        </w:tc>
        <w:tc>
          <w:tcPr>
            <w:tcW w:w="27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112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4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0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67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4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5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30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112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4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0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67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4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5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30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112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4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0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67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4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55.68</w:t>
            </w:r>
          </w:p>
        </w:tc>
        <w:tc>
          <w:tcPr>
            <w:tcW w:w="2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5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30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62.93</w:t>
            </w:r>
          </w:p>
        </w:tc>
        <w:tc>
          <w:tcPr>
            <w:tcW w:w="27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112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4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0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67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4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95.56</w:t>
            </w:r>
          </w:p>
        </w:tc>
        <w:tc>
          <w:tcPr>
            <w:tcW w:w="2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5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30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112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4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0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67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4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5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30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6.12</w:t>
            </w:r>
          </w:p>
        </w:tc>
        <w:tc>
          <w:tcPr>
            <w:tcW w:w="27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112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4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0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67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4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5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30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112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4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0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67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4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w:t>
            </w:r>
          </w:p>
        </w:tc>
        <w:tc>
          <w:tcPr>
            <w:tcW w:w="2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5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30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112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4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0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67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4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5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30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112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4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0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67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4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5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30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112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4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0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67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4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5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30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112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4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0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67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4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5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30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112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4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0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67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4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20.40</w:t>
            </w:r>
          </w:p>
        </w:tc>
        <w:tc>
          <w:tcPr>
            <w:tcW w:w="2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5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30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112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4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0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67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4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5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30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112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4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0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67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4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5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30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620.98</w:t>
            </w:r>
          </w:p>
        </w:tc>
        <w:tc>
          <w:tcPr>
            <w:tcW w:w="27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112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赠与</w:t>
            </w:r>
          </w:p>
        </w:tc>
        <w:tc>
          <w:tcPr>
            <w:tcW w:w="4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0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67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4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5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30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19.70</w:t>
            </w:r>
          </w:p>
        </w:tc>
        <w:tc>
          <w:tcPr>
            <w:tcW w:w="27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112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国家赔偿费用支出</w:t>
            </w:r>
          </w:p>
        </w:tc>
        <w:tc>
          <w:tcPr>
            <w:tcW w:w="4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0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67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4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5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30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112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4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0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67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4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5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30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3.64</w:t>
            </w:r>
          </w:p>
        </w:tc>
        <w:tc>
          <w:tcPr>
            <w:tcW w:w="27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112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4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0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67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w:t>
            </w:r>
          </w:p>
        </w:tc>
        <w:tc>
          <w:tcPr>
            <w:tcW w:w="4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0.62</w:t>
            </w:r>
          </w:p>
        </w:tc>
        <w:tc>
          <w:tcPr>
            <w:tcW w:w="2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5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30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2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0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7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5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30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2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0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7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5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30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0.40</w:t>
            </w:r>
          </w:p>
        </w:tc>
        <w:tc>
          <w:tcPr>
            <w:tcW w:w="27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2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577" w:type="pct"/>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4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1,733.22</w:t>
            </w:r>
          </w:p>
        </w:tc>
        <w:tc>
          <w:tcPr>
            <w:tcW w:w="2582" w:type="pct"/>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4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954.47</w:t>
            </w:r>
          </w:p>
        </w:tc>
      </w:tr>
      <w:tr>
        <w:tblPrEx>
          <w:tblCellMar>
            <w:top w:w="0" w:type="dxa"/>
            <w:left w:w="0" w:type="dxa"/>
            <w:bottom w:w="0" w:type="dxa"/>
            <w:right w:w="0" w:type="dxa"/>
          </w:tblCellMar>
        </w:tblPrEx>
        <w:trPr>
          <w:trHeight w:val="308" w:hRule="atLeast"/>
        </w:trPr>
        <w:tc>
          <w:tcPr>
            <w:tcW w:w="5000" w:type="pct"/>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注：本表反映部门本年度一般公共预算财政拨款基本支出明细情况。本表金额转换为万元时，因四舍五入可能存在尾差。</w:t>
            </w:r>
          </w:p>
        </w:tc>
      </w:tr>
    </w:tbl>
    <w:p/>
    <w:p/>
    <w:tbl>
      <w:tblPr>
        <w:tblStyle w:val="7"/>
        <w:tblW w:w="5000" w:type="pct"/>
        <w:tblInd w:w="0" w:type="dxa"/>
        <w:shd w:val="clear" w:color="auto" w:fill="auto"/>
        <w:tblLayout w:type="fixed"/>
        <w:tblCellMar>
          <w:top w:w="0" w:type="dxa"/>
          <w:left w:w="0" w:type="dxa"/>
          <w:bottom w:w="0" w:type="dxa"/>
          <w:right w:w="0" w:type="dxa"/>
        </w:tblCellMar>
      </w:tblPr>
      <w:tblGrid>
        <w:gridCol w:w="951"/>
        <w:gridCol w:w="1785"/>
        <w:gridCol w:w="1004"/>
        <w:gridCol w:w="741"/>
        <w:gridCol w:w="554"/>
        <w:gridCol w:w="1901"/>
        <w:gridCol w:w="833"/>
        <w:gridCol w:w="817"/>
        <w:gridCol w:w="1250"/>
        <w:gridCol w:w="1000"/>
        <w:gridCol w:w="1183"/>
        <w:gridCol w:w="1969"/>
      </w:tblGrid>
      <w:tr>
        <w:tblPrEx>
          <w:shd w:val="clear" w:color="auto" w:fill="auto"/>
          <w:tblCellMar>
            <w:top w:w="0" w:type="dxa"/>
            <w:left w:w="0" w:type="dxa"/>
            <w:bottom w:w="0" w:type="dxa"/>
            <w:right w:w="0" w:type="dxa"/>
          </w:tblCellMar>
        </w:tblPrEx>
        <w:trPr>
          <w:trHeight w:val="540" w:hRule="atLeast"/>
        </w:trPr>
        <w:tc>
          <w:tcPr>
            <w:tcW w:w="5000" w:type="pct"/>
            <w:gridSpan w:val="12"/>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44"/>
                <w:szCs w:val="44"/>
                <w:u w:val="none"/>
                <w:lang w:val="en-US" w:eastAsia="zh-CN" w:bidi="ar"/>
              </w:rPr>
              <w:t>共预算财政拨款“三公”经费支出决算表</w:t>
            </w:r>
          </w:p>
        </w:tc>
      </w:tr>
      <w:tr>
        <w:tblPrEx>
          <w:tblCellMar>
            <w:top w:w="0" w:type="dxa"/>
            <w:left w:w="0" w:type="dxa"/>
            <w:bottom w:w="0" w:type="dxa"/>
            <w:right w:w="0" w:type="dxa"/>
          </w:tblCellMar>
        </w:tblPrEx>
        <w:trPr>
          <w:trHeight w:val="255" w:hRule="atLeast"/>
        </w:trPr>
        <w:tc>
          <w:tcPr>
            <w:tcW w:w="339"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38"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58"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64"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98"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79"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97"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92"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46"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57"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22"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03"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CellMar>
            <w:top w:w="0" w:type="dxa"/>
            <w:left w:w="0" w:type="dxa"/>
            <w:bottom w:w="0" w:type="dxa"/>
            <w:right w:w="0" w:type="dxa"/>
          </w:tblCellMar>
        </w:tblPrEx>
        <w:trPr>
          <w:trHeight w:val="255" w:hRule="atLeast"/>
        </w:trPr>
        <w:tc>
          <w:tcPr>
            <w:tcW w:w="5000" w:type="pct"/>
            <w:gridSpan w:val="1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黑体" w:hAnsi="黑体" w:eastAsia="黑体" w:cs="黑体"/>
                <w:b w:val="0"/>
                <w:bCs w:val="0"/>
                <w:sz w:val="20"/>
                <w:szCs w:val="20"/>
              </w:rPr>
              <w:t>濮阳县</w:t>
            </w:r>
            <w:r>
              <w:rPr>
                <w:rFonts w:hint="eastAsia" w:ascii="黑体" w:hAnsi="黑体" w:eastAsia="黑体" w:cs="黑体"/>
                <w:b w:val="0"/>
                <w:bCs w:val="0"/>
                <w:sz w:val="20"/>
                <w:szCs w:val="20"/>
                <w:lang w:eastAsia="zh-CN"/>
              </w:rPr>
              <w:t>国土资源局</w:t>
            </w:r>
            <w:r>
              <w:rPr>
                <w:rFonts w:hint="eastAsia" w:ascii="黑体" w:hAnsi="黑体" w:eastAsia="黑体" w:cs="黑体"/>
                <w:b w:val="0"/>
                <w:bCs w:val="0"/>
                <w:sz w:val="20"/>
                <w:szCs w:val="20"/>
                <w:lang w:val="en-US" w:eastAsia="zh-CN"/>
              </w:rPr>
              <w:t xml:space="preserve">                                                                                                       </w:t>
            </w: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2479"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2520" w:type="pct"/>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trPr>
        <w:tc>
          <w:tcPr>
            <w:tcW w:w="339" w:type="pct"/>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638" w:type="pct"/>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821" w:type="pct"/>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679" w:type="pct"/>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297" w:type="pct"/>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92" w:type="pct"/>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1227" w:type="pct"/>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703" w:type="pct"/>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CellMar>
            <w:top w:w="0" w:type="dxa"/>
            <w:left w:w="0" w:type="dxa"/>
            <w:bottom w:w="0" w:type="dxa"/>
            <w:right w:w="0" w:type="dxa"/>
          </w:tblCellMar>
        </w:tblPrEx>
        <w:trPr>
          <w:trHeight w:val="615" w:hRule="atLeast"/>
        </w:trPr>
        <w:tc>
          <w:tcPr>
            <w:tcW w:w="339"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8"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8"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264"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98"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679"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7"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2"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46"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357"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422"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703"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39"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38"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58"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64"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98"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679"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297"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292"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446"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357"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22"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703"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308" w:hRule="atLeast"/>
        </w:trPr>
        <w:tc>
          <w:tcPr>
            <w:tcW w:w="9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3.64</w:t>
            </w:r>
          </w:p>
        </w:tc>
        <w:tc>
          <w:tcPr>
            <w:tcW w:w="17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3.64</w:t>
            </w:r>
          </w:p>
        </w:tc>
        <w:tc>
          <w:tcPr>
            <w:tcW w:w="7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3.64</w:t>
            </w:r>
          </w:p>
        </w:tc>
        <w:tc>
          <w:tcPr>
            <w:tcW w:w="19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3.64</w:t>
            </w:r>
          </w:p>
        </w:tc>
        <w:tc>
          <w:tcPr>
            <w:tcW w:w="29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3.64</w:t>
            </w:r>
          </w:p>
        </w:tc>
        <w:tc>
          <w:tcPr>
            <w:tcW w:w="35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3.64</w:t>
            </w:r>
          </w:p>
        </w:tc>
        <w:tc>
          <w:tcPr>
            <w:tcW w:w="7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615" w:hRule="atLeast"/>
        </w:trPr>
        <w:tc>
          <w:tcPr>
            <w:tcW w:w="5000" w:type="pct"/>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
    <w:p/>
    <w:p/>
    <w:p/>
    <w:p/>
    <w:p/>
    <w:p/>
    <w:p/>
    <w:p/>
    <w:p/>
    <w:tbl>
      <w:tblPr>
        <w:tblStyle w:val="7"/>
        <w:tblW w:w="5000" w:type="pct"/>
        <w:tblInd w:w="0" w:type="dxa"/>
        <w:shd w:val="clear" w:color="auto" w:fill="auto"/>
        <w:tblLayout w:type="autofit"/>
        <w:tblCellMar>
          <w:top w:w="0" w:type="dxa"/>
          <w:left w:w="0" w:type="dxa"/>
          <w:bottom w:w="0" w:type="dxa"/>
          <w:right w:w="0" w:type="dxa"/>
        </w:tblCellMar>
      </w:tblPr>
      <w:tblGrid>
        <w:gridCol w:w="2230"/>
        <w:gridCol w:w="36"/>
        <w:gridCol w:w="36"/>
        <w:gridCol w:w="5530"/>
        <w:gridCol w:w="717"/>
        <w:gridCol w:w="1252"/>
        <w:gridCol w:w="1028"/>
        <w:gridCol w:w="696"/>
        <w:gridCol w:w="1029"/>
        <w:gridCol w:w="1434"/>
      </w:tblGrid>
      <w:tr>
        <w:tblPrEx>
          <w:shd w:val="clear" w:color="auto" w:fill="auto"/>
          <w:tblCellMar>
            <w:top w:w="0" w:type="dxa"/>
            <w:left w:w="0" w:type="dxa"/>
            <w:bottom w:w="0" w:type="dxa"/>
            <w:right w:w="0" w:type="dxa"/>
          </w:tblCellMar>
        </w:tblPrEx>
        <w:trPr>
          <w:trHeight w:val="390" w:hRule="atLeast"/>
        </w:trPr>
        <w:tc>
          <w:tcPr>
            <w:tcW w:w="5000" w:type="pct"/>
            <w:gridSpan w:val="10"/>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CellMar>
            <w:top w:w="0" w:type="dxa"/>
            <w:left w:w="0" w:type="dxa"/>
            <w:bottom w:w="0" w:type="dxa"/>
            <w:right w:w="0" w:type="dxa"/>
          </w:tblCellMar>
        </w:tblPrEx>
        <w:trPr>
          <w:trHeight w:val="255" w:hRule="atLeast"/>
        </w:trPr>
        <w:tc>
          <w:tcPr>
            <w:tcW w:w="797"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976"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57"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48"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67"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48"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67"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11"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255" w:hRule="atLeast"/>
        </w:trPr>
        <w:tc>
          <w:tcPr>
            <w:tcW w:w="797"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黑体" w:hAnsi="黑体" w:eastAsia="黑体" w:cs="黑体"/>
                <w:b w:val="0"/>
                <w:bCs w:val="0"/>
                <w:sz w:val="20"/>
                <w:szCs w:val="20"/>
              </w:rPr>
              <w:t>濮阳县</w:t>
            </w:r>
            <w:r>
              <w:rPr>
                <w:rFonts w:hint="eastAsia" w:ascii="黑体" w:hAnsi="黑体" w:eastAsia="黑体" w:cs="黑体"/>
                <w:b w:val="0"/>
                <w:bCs w:val="0"/>
                <w:sz w:val="20"/>
                <w:szCs w:val="20"/>
                <w:lang w:eastAsia="zh-CN"/>
              </w:rPr>
              <w:t>国土资源局</w:t>
            </w:r>
          </w:p>
        </w:tc>
        <w:tc>
          <w:tcPr>
            <w:tcW w:w="12"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976"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57"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48"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67"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48"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67"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11"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2799"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57"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448"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983" w:type="pct"/>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511"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08" w:hRule="atLeast"/>
        </w:trPr>
        <w:tc>
          <w:tcPr>
            <w:tcW w:w="822" w:type="pct"/>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976" w:type="pct"/>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57"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48"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7" w:type="pct"/>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248" w:type="pct"/>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367" w:type="pct"/>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511"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22" w:type="pct"/>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76" w:type="pct"/>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7"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48"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7"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8"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7"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1"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22" w:type="pct"/>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76" w:type="pct"/>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7"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48"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7"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8"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7"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1"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799"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5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4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1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2799"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5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44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12,523.00</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12,523.00</w:t>
            </w:r>
          </w:p>
        </w:tc>
        <w:tc>
          <w:tcPr>
            <w:tcW w:w="24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509.00</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12,014.00</w:t>
            </w:r>
          </w:p>
        </w:tc>
        <w:tc>
          <w:tcPr>
            <w:tcW w:w="51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22"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19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城乡社区支出</w:t>
            </w:r>
          </w:p>
        </w:tc>
        <w:tc>
          <w:tcPr>
            <w:tcW w:w="25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4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12,523.00</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12,523.00</w:t>
            </w:r>
          </w:p>
        </w:tc>
        <w:tc>
          <w:tcPr>
            <w:tcW w:w="24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509.00</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12,014.00</w:t>
            </w:r>
          </w:p>
        </w:tc>
        <w:tc>
          <w:tcPr>
            <w:tcW w:w="51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22"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w:t>
            </w:r>
          </w:p>
        </w:tc>
        <w:tc>
          <w:tcPr>
            <w:tcW w:w="19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国有土地使用权出让收入及对应专项债务收入安排的支出</w:t>
            </w:r>
          </w:p>
        </w:tc>
        <w:tc>
          <w:tcPr>
            <w:tcW w:w="25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4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10,609.00</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10,609.00</w:t>
            </w:r>
          </w:p>
        </w:tc>
        <w:tc>
          <w:tcPr>
            <w:tcW w:w="24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509.00</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10,100.00</w:t>
            </w:r>
          </w:p>
        </w:tc>
        <w:tc>
          <w:tcPr>
            <w:tcW w:w="51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22"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2120802</w:t>
            </w:r>
          </w:p>
        </w:tc>
        <w:tc>
          <w:tcPr>
            <w:tcW w:w="19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土地开发支出</w:t>
            </w:r>
          </w:p>
        </w:tc>
        <w:tc>
          <w:tcPr>
            <w:tcW w:w="25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4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8,544.00</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8,544.00</w:t>
            </w:r>
          </w:p>
        </w:tc>
        <w:tc>
          <w:tcPr>
            <w:tcW w:w="24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8,544.00</w:t>
            </w:r>
          </w:p>
        </w:tc>
        <w:tc>
          <w:tcPr>
            <w:tcW w:w="51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22"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2120804</w:t>
            </w:r>
          </w:p>
        </w:tc>
        <w:tc>
          <w:tcPr>
            <w:tcW w:w="19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农村基础设施建设支出</w:t>
            </w:r>
          </w:p>
        </w:tc>
        <w:tc>
          <w:tcPr>
            <w:tcW w:w="25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4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w:t>
            </w:r>
          </w:p>
        </w:tc>
        <w:tc>
          <w:tcPr>
            <w:tcW w:w="24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w:t>
            </w:r>
          </w:p>
        </w:tc>
        <w:tc>
          <w:tcPr>
            <w:tcW w:w="51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22"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2120806</w:t>
            </w:r>
          </w:p>
        </w:tc>
        <w:tc>
          <w:tcPr>
            <w:tcW w:w="19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土地出让业务支出</w:t>
            </w:r>
          </w:p>
        </w:tc>
        <w:tc>
          <w:tcPr>
            <w:tcW w:w="25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4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509.00</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509.00</w:t>
            </w:r>
          </w:p>
        </w:tc>
        <w:tc>
          <w:tcPr>
            <w:tcW w:w="24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509.00</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22"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2120809</w:t>
            </w:r>
          </w:p>
        </w:tc>
        <w:tc>
          <w:tcPr>
            <w:tcW w:w="19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支付破产或改制企业职工安置费</w:t>
            </w:r>
          </w:p>
        </w:tc>
        <w:tc>
          <w:tcPr>
            <w:tcW w:w="25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4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1,026.00</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1,026.00</w:t>
            </w:r>
          </w:p>
        </w:tc>
        <w:tc>
          <w:tcPr>
            <w:tcW w:w="24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1,026.00</w:t>
            </w:r>
          </w:p>
        </w:tc>
        <w:tc>
          <w:tcPr>
            <w:tcW w:w="51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22"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2120899</w:t>
            </w:r>
          </w:p>
        </w:tc>
        <w:tc>
          <w:tcPr>
            <w:tcW w:w="19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其他国有土地使用权出让收入安排的支出</w:t>
            </w:r>
          </w:p>
        </w:tc>
        <w:tc>
          <w:tcPr>
            <w:tcW w:w="25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4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330.00</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330.00</w:t>
            </w:r>
          </w:p>
        </w:tc>
        <w:tc>
          <w:tcPr>
            <w:tcW w:w="24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330.00</w:t>
            </w:r>
          </w:p>
        </w:tc>
        <w:tc>
          <w:tcPr>
            <w:tcW w:w="51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22"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21210</w:t>
            </w:r>
          </w:p>
        </w:tc>
        <w:tc>
          <w:tcPr>
            <w:tcW w:w="19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国有土地收益基金及对应专项债务收入安排的支出</w:t>
            </w:r>
          </w:p>
        </w:tc>
        <w:tc>
          <w:tcPr>
            <w:tcW w:w="25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4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406.00</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406.00</w:t>
            </w:r>
          </w:p>
        </w:tc>
        <w:tc>
          <w:tcPr>
            <w:tcW w:w="24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406.00</w:t>
            </w:r>
          </w:p>
        </w:tc>
        <w:tc>
          <w:tcPr>
            <w:tcW w:w="51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22"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2121001</w:t>
            </w:r>
          </w:p>
        </w:tc>
        <w:tc>
          <w:tcPr>
            <w:tcW w:w="19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征地和拆迁补偿支出</w:t>
            </w:r>
          </w:p>
        </w:tc>
        <w:tc>
          <w:tcPr>
            <w:tcW w:w="25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4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191.00</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191.00</w:t>
            </w:r>
          </w:p>
        </w:tc>
        <w:tc>
          <w:tcPr>
            <w:tcW w:w="24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191.00</w:t>
            </w:r>
          </w:p>
        </w:tc>
        <w:tc>
          <w:tcPr>
            <w:tcW w:w="51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22"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2121002</w:t>
            </w:r>
          </w:p>
        </w:tc>
        <w:tc>
          <w:tcPr>
            <w:tcW w:w="19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土地开发支出</w:t>
            </w:r>
          </w:p>
        </w:tc>
        <w:tc>
          <w:tcPr>
            <w:tcW w:w="25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4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215.00</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215.00</w:t>
            </w:r>
          </w:p>
        </w:tc>
        <w:tc>
          <w:tcPr>
            <w:tcW w:w="24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215.00</w:t>
            </w:r>
          </w:p>
        </w:tc>
        <w:tc>
          <w:tcPr>
            <w:tcW w:w="51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22"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21211</w:t>
            </w:r>
          </w:p>
        </w:tc>
        <w:tc>
          <w:tcPr>
            <w:tcW w:w="19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农业土地开发资金安排的支出</w:t>
            </w:r>
          </w:p>
        </w:tc>
        <w:tc>
          <w:tcPr>
            <w:tcW w:w="25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4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1,508.00</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1,508.00</w:t>
            </w:r>
          </w:p>
        </w:tc>
        <w:tc>
          <w:tcPr>
            <w:tcW w:w="24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1,508.00</w:t>
            </w:r>
          </w:p>
        </w:tc>
        <w:tc>
          <w:tcPr>
            <w:tcW w:w="51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22"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2121100</w:t>
            </w:r>
          </w:p>
        </w:tc>
        <w:tc>
          <w:tcPr>
            <w:tcW w:w="19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农业土地开发资金安排的支出</w:t>
            </w:r>
          </w:p>
        </w:tc>
        <w:tc>
          <w:tcPr>
            <w:tcW w:w="25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4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1,508.00</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1,508.00</w:t>
            </w:r>
          </w:p>
        </w:tc>
        <w:tc>
          <w:tcPr>
            <w:tcW w:w="24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1,508.00</w:t>
            </w:r>
          </w:p>
        </w:tc>
        <w:tc>
          <w:tcPr>
            <w:tcW w:w="51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000" w:type="pct"/>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
      <w:pPr>
        <w:sectPr>
          <w:pgSz w:w="16838" w:h="11906" w:orient="landscape"/>
          <w:pgMar w:top="1800" w:right="1440" w:bottom="1800" w:left="1440" w:header="851" w:footer="992" w:gutter="0"/>
          <w:cols w:space="425" w:num="1"/>
          <w:docGrid w:type="lines" w:linePitch="312" w:charSpace="0"/>
        </w:sectPr>
      </w:pPr>
    </w:p>
    <w:p>
      <w:pPr>
        <w:pStyle w:val="2"/>
        <w:ind w:right="1735"/>
      </w:pPr>
    </w:p>
    <w:p>
      <w:pPr>
        <w:pStyle w:val="2"/>
        <w:ind w:right="1735"/>
      </w:pPr>
    </w:p>
    <w:p>
      <w:pPr>
        <w:pStyle w:val="2"/>
        <w:ind w:right="1735"/>
      </w:pPr>
    </w:p>
    <w:p>
      <w:pPr>
        <w:pStyle w:val="2"/>
        <w:ind w:right="1735"/>
      </w:pPr>
    </w:p>
    <w:p>
      <w:pPr>
        <w:pStyle w:val="2"/>
        <w:ind w:right="1735"/>
      </w:pPr>
    </w:p>
    <w:p>
      <w:pPr>
        <w:pStyle w:val="2"/>
        <w:ind w:right="1735"/>
      </w:pPr>
      <w:r>
        <w:t>第三部分</w:t>
      </w:r>
    </w:p>
    <w:p>
      <w:pPr>
        <w:spacing w:before="9"/>
        <w:ind w:right="1735" w:firstLine="1440" w:firstLineChars="300"/>
        <w:jc w:val="both"/>
        <w:rPr>
          <w:rFonts w:hint="eastAsia" w:ascii="黑体" w:eastAsia="黑体"/>
          <w:sz w:val="48"/>
        </w:rPr>
      </w:pPr>
      <w:r>
        <w:rPr>
          <w:rFonts w:hint="eastAsia" w:ascii="黑体" w:eastAsia="黑体"/>
          <w:sz w:val="48"/>
        </w:rPr>
        <w:t>201</w:t>
      </w:r>
      <w:r>
        <w:rPr>
          <w:rFonts w:hint="eastAsia" w:ascii="黑体" w:eastAsia="黑体"/>
          <w:sz w:val="48"/>
          <w:lang w:val="en-US" w:eastAsia="zh-CN"/>
        </w:rPr>
        <w:t>9</w:t>
      </w:r>
      <w:r>
        <w:rPr>
          <w:rFonts w:hint="eastAsia" w:ascii="黑体" w:eastAsia="黑体"/>
          <w:sz w:val="48"/>
        </w:rPr>
        <w:t>年度部门决算情况说明</w:t>
      </w:r>
    </w:p>
    <w:p>
      <w:pPr>
        <w:spacing w:line="0" w:lineRule="atLeast"/>
        <w:rPr>
          <w:rFonts w:ascii="微软雅黑" w:hAnsi="微软雅黑" w:eastAsia="微软雅黑"/>
          <w:sz w:val="47"/>
        </w:rPr>
        <w:sectPr>
          <w:pgSz w:w="11900" w:h="16838"/>
          <w:pgMar w:top="1440" w:right="1202" w:bottom="726" w:left="1480" w:header="0" w:footer="0" w:gutter="0"/>
          <w:pgNumType w:fmt="decimal"/>
          <w:cols w:space="720" w:num="1"/>
          <w:rtlGutter w:val="0"/>
          <w:docGrid w:linePitch="360" w:charSpace="0"/>
        </w:sectPr>
      </w:pPr>
    </w:p>
    <w:p>
      <w:pPr>
        <w:pStyle w:val="3"/>
        <w:keepNext w:val="0"/>
        <w:keepLines w:val="0"/>
        <w:pageBreakBefore w:val="0"/>
        <w:widowControl/>
        <w:kinsoku/>
        <w:wordWrap/>
        <w:overflowPunct/>
        <w:topLinePunct w:val="0"/>
        <w:autoSpaceDN/>
        <w:bidi w:val="0"/>
        <w:spacing w:before="30"/>
        <w:ind w:left="960"/>
        <w:textAlignment w:val="auto"/>
        <w:rPr>
          <w:rFonts w:hint="eastAsia" w:ascii="仿宋" w:hAnsi="仿宋" w:eastAsia="仿宋" w:cs="仿宋"/>
          <w:b/>
          <w:bCs/>
        </w:rPr>
      </w:pPr>
      <w:r>
        <w:rPr>
          <w:rFonts w:hint="eastAsia" w:ascii="仿宋" w:hAnsi="仿宋" w:eastAsia="仿宋" w:cs="仿宋"/>
          <w:b/>
          <w:bCs/>
        </w:rPr>
        <w:t>一、 收入支出决算总体情况说明</w:t>
      </w:r>
    </w:p>
    <w:p>
      <w:pPr>
        <w:pStyle w:val="3"/>
        <w:keepNext w:val="0"/>
        <w:keepLines w:val="0"/>
        <w:pageBreakBefore w:val="0"/>
        <w:widowControl/>
        <w:kinsoku/>
        <w:wordWrap/>
        <w:overflowPunct/>
        <w:topLinePunct w:val="0"/>
        <w:autoSpaceDN/>
        <w:bidi w:val="0"/>
        <w:spacing w:before="214"/>
        <w:ind w:left="960"/>
        <w:textAlignment w:val="auto"/>
        <w:rPr>
          <w:rFonts w:hint="eastAsia" w:ascii="仿宋" w:hAnsi="仿宋" w:eastAsia="仿宋" w:cs="仿宋"/>
        </w:rPr>
      </w:pPr>
      <w:r>
        <w:rPr>
          <w:rFonts w:hint="eastAsia" w:ascii="仿宋" w:hAnsi="仿宋" w:eastAsia="仿宋" w:cs="仿宋"/>
        </w:rPr>
        <w:t>201</w:t>
      </w:r>
      <w:r>
        <w:rPr>
          <w:rFonts w:hint="eastAsia" w:ascii="仿宋" w:hAnsi="仿宋" w:eastAsia="仿宋" w:cs="仿宋"/>
          <w:lang w:val="en-US" w:eastAsia="zh-CN"/>
        </w:rPr>
        <w:t>9</w:t>
      </w:r>
      <w:r>
        <w:rPr>
          <w:rFonts w:hint="eastAsia" w:ascii="仿宋" w:hAnsi="仿宋" w:eastAsia="仿宋" w:cs="仿宋"/>
        </w:rPr>
        <w:t>年度收、支总计均为</w:t>
      </w:r>
      <w:r>
        <w:rPr>
          <w:rFonts w:hint="eastAsia" w:ascii="仿宋" w:hAnsi="仿宋" w:eastAsia="仿宋" w:cs="仿宋"/>
          <w:lang w:val="en-US" w:eastAsia="zh-CN"/>
        </w:rPr>
        <w:t>15210.69</w:t>
      </w:r>
      <w:r>
        <w:rPr>
          <w:rFonts w:hint="eastAsia" w:ascii="仿宋" w:hAnsi="仿宋" w:eastAsia="仿宋" w:cs="仿宋"/>
        </w:rPr>
        <w:t>万元。与 201</w:t>
      </w:r>
      <w:r>
        <w:rPr>
          <w:rFonts w:hint="eastAsia" w:ascii="仿宋" w:hAnsi="仿宋" w:eastAsia="仿宋" w:cs="仿宋"/>
          <w:lang w:val="en-US" w:eastAsia="zh-CN"/>
        </w:rPr>
        <w:t>8</w:t>
      </w:r>
      <w:r>
        <w:rPr>
          <w:rFonts w:hint="eastAsia" w:ascii="仿宋" w:hAnsi="仿宋" w:eastAsia="仿宋" w:cs="仿宋"/>
        </w:rPr>
        <w:t>年相</w:t>
      </w:r>
    </w:p>
    <w:p>
      <w:pPr>
        <w:pStyle w:val="3"/>
        <w:keepNext w:val="0"/>
        <w:keepLines w:val="0"/>
        <w:pageBreakBefore w:val="0"/>
        <w:widowControl/>
        <w:kinsoku/>
        <w:wordWrap/>
        <w:overflowPunct/>
        <w:topLinePunct w:val="0"/>
        <w:autoSpaceDN/>
        <w:bidi w:val="0"/>
        <w:spacing w:before="209" w:line="367" w:lineRule="auto"/>
        <w:ind w:left="320" w:right="597"/>
        <w:textAlignment w:val="auto"/>
        <w:rPr>
          <w:rFonts w:hint="eastAsia" w:ascii="仿宋" w:hAnsi="仿宋" w:eastAsia="仿宋" w:cs="仿宋"/>
          <w:lang w:val="en-US"/>
        </w:rPr>
      </w:pPr>
      <w:r>
        <w:rPr>
          <w:rFonts w:hint="eastAsia" w:ascii="仿宋" w:hAnsi="仿宋" w:eastAsia="仿宋" w:cs="仿宋"/>
          <w:position w:val="1"/>
        </w:rPr>
        <w:t>比</w:t>
      </w:r>
      <w:r>
        <w:rPr>
          <w:rFonts w:hint="eastAsia" w:ascii="仿宋" w:hAnsi="仿宋" w:eastAsia="仿宋" w:cs="仿宋"/>
          <w:spacing w:val="-22"/>
          <w:position w:val="1"/>
        </w:rPr>
        <w:t>，</w:t>
      </w:r>
      <w:r>
        <w:rPr>
          <w:rFonts w:hint="eastAsia" w:ascii="仿宋" w:hAnsi="仿宋" w:eastAsia="仿宋" w:cs="仿宋"/>
          <w:position w:val="1"/>
        </w:rPr>
        <w:t>收</w:t>
      </w:r>
      <w:r>
        <w:rPr>
          <w:rFonts w:hint="eastAsia" w:ascii="仿宋" w:hAnsi="仿宋" w:eastAsia="仿宋" w:cs="仿宋"/>
          <w:spacing w:val="-22"/>
          <w:position w:val="1"/>
        </w:rPr>
        <w:t>、</w:t>
      </w:r>
      <w:r>
        <w:rPr>
          <w:rFonts w:hint="eastAsia" w:ascii="仿宋" w:hAnsi="仿宋" w:eastAsia="仿宋" w:cs="仿宋"/>
          <w:position w:val="1"/>
        </w:rPr>
        <w:t>支</w:t>
      </w:r>
      <w:r>
        <w:rPr>
          <w:rFonts w:hint="eastAsia" w:ascii="仿宋" w:hAnsi="仿宋" w:eastAsia="仿宋" w:cs="仿宋"/>
          <w:position w:val="1"/>
          <w:lang w:val="en-US" w:eastAsia="zh-CN"/>
        </w:rPr>
        <w:t>各减少了11639.05万元，主要是政府性基金预算收支中征地和拆迁补偿收支减少。</w:t>
      </w:r>
    </w:p>
    <w:p>
      <w:pPr>
        <w:pStyle w:val="3"/>
        <w:keepNext w:val="0"/>
        <w:keepLines w:val="0"/>
        <w:pageBreakBefore w:val="0"/>
        <w:widowControl/>
        <w:kinsoku/>
        <w:wordWrap/>
        <w:overflowPunct/>
        <w:topLinePunct w:val="0"/>
        <w:autoSpaceDN/>
        <w:bidi w:val="0"/>
        <w:spacing w:line="408" w:lineRule="exact"/>
        <w:ind w:firstLine="964" w:firstLineChars="300"/>
        <w:textAlignment w:val="auto"/>
        <w:rPr>
          <w:rFonts w:hint="eastAsia" w:ascii="仿宋" w:hAnsi="仿宋" w:eastAsia="仿宋" w:cs="仿宋"/>
          <w:b/>
          <w:bCs/>
        </w:rPr>
      </w:pPr>
      <w:r>
        <w:rPr>
          <w:rFonts w:hint="eastAsia" w:ascii="仿宋" w:hAnsi="仿宋" w:eastAsia="仿宋" w:cs="仿宋"/>
          <w:b/>
          <w:bCs/>
        </w:rPr>
        <w:t>二、收入决算情况说明</w:t>
      </w:r>
    </w:p>
    <w:p>
      <w:pPr>
        <w:pStyle w:val="3"/>
        <w:keepNext w:val="0"/>
        <w:keepLines w:val="0"/>
        <w:pageBreakBefore w:val="0"/>
        <w:widowControl/>
        <w:kinsoku/>
        <w:wordWrap/>
        <w:overflowPunct/>
        <w:topLinePunct w:val="0"/>
        <w:autoSpaceDN/>
        <w:bidi w:val="0"/>
        <w:spacing w:before="204"/>
        <w:ind w:left="320" w:firstLine="640" w:firstLineChars="200"/>
        <w:textAlignment w:val="auto"/>
        <w:rPr>
          <w:rFonts w:hint="eastAsia" w:ascii="仿宋" w:hAnsi="仿宋" w:eastAsia="仿宋" w:cs="仿宋"/>
          <w:lang w:val="en-US" w:eastAsia="zh-CN"/>
        </w:rPr>
      </w:pPr>
      <w:r>
        <w:rPr>
          <w:rFonts w:hint="eastAsia" w:ascii="仿宋" w:hAnsi="仿宋" w:eastAsia="仿宋" w:cs="仿宋"/>
        </w:rPr>
        <w:t>201</w:t>
      </w:r>
      <w:r>
        <w:rPr>
          <w:rFonts w:hint="eastAsia" w:ascii="仿宋" w:hAnsi="仿宋" w:eastAsia="仿宋" w:cs="仿宋"/>
          <w:lang w:val="en-US" w:eastAsia="zh-CN"/>
        </w:rPr>
        <w:t>9</w:t>
      </w:r>
      <w:r>
        <w:rPr>
          <w:rFonts w:hint="eastAsia" w:ascii="仿宋" w:hAnsi="仿宋" w:eastAsia="仿宋" w:cs="仿宋"/>
        </w:rPr>
        <w:t xml:space="preserve">年度收入合计 </w:t>
      </w:r>
      <w:r>
        <w:rPr>
          <w:rFonts w:hint="eastAsia" w:ascii="仿宋" w:hAnsi="仿宋" w:eastAsia="仿宋" w:cs="仿宋"/>
          <w:lang w:val="en-US" w:eastAsia="zh-CN"/>
        </w:rPr>
        <w:t>15210.69</w:t>
      </w:r>
      <w:r>
        <w:rPr>
          <w:rFonts w:hint="eastAsia" w:ascii="仿宋" w:hAnsi="仿宋" w:eastAsia="仿宋" w:cs="仿宋"/>
        </w:rPr>
        <w:t xml:space="preserve"> 万元，</w:t>
      </w:r>
      <w:r>
        <w:rPr>
          <w:rFonts w:hint="eastAsia" w:ascii="仿宋" w:hAnsi="仿宋" w:eastAsia="仿宋" w:cs="仿宋"/>
          <w:lang w:val="en-US" w:eastAsia="zh-CN"/>
        </w:rPr>
        <w:t>全部为财政拨款收入，</w:t>
      </w:r>
      <w:r>
        <w:rPr>
          <w:rFonts w:hint="eastAsia" w:ascii="仿宋" w:hAnsi="仿宋" w:eastAsia="仿宋" w:cs="仿宋"/>
        </w:rPr>
        <w:t>其中：</w:t>
      </w:r>
      <w:r>
        <w:rPr>
          <w:rFonts w:hint="eastAsia" w:ascii="仿宋" w:hAnsi="仿宋" w:eastAsia="仿宋" w:cs="仿宋"/>
          <w:lang w:val="en-US" w:eastAsia="zh-CN"/>
        </w:rPr>
        <w:t>一般公共预算财政拨款收入2687.69万元，占比18％；政府性基金财政拨款收入12523万元，占比82％。</w:t>
      </w:r>
    </w:p>
    <w:p>
      <w:pPr>
        <w:keepNext w:val="0"/>
        <w:keepLines w:val="0"/>
        <w:pageBreakBefore w:val="0"/>
        <w:widowControl/>
        <w:kinsoku/>
        <w:wordWrap/>
        <w:overflowPunct/>
        <w:topLinePunct w:val="0"/>
        <w:autoSpaceDN/>
        <w:bidi w:val="0"/>
        <w:spacing w:line="200" w:lineRule="exact"/>
        <w:textAlignment w:val="auto"/>
        <w:rPr>
          <w:rFonts w:hint="eastAsia" w:ascii="仿宋" w:hAnsi="仿宋" w:eastAsia="仿宋" w:cs="仿宋"/>
        </w:rPr>
      </w:pPr>
    </w:p>
    <w:p>
      <w:pPr>
        <w:keepNext w:val="0"/>
        <w:keepLines w:val="0"/>
        <w:pageBreakBefore w:val="0"/>
        <w:widowControl/>
        <w:kinsoku/>
        <w:wordWrap/>
        <w:overflowPunct/>
        <w:topLinePunct w:val="0"/>
        <w:autoSpaceDN/>
        <w:bidi w:val="0"/>
        <w:spacing w:line="200" w:lineRule="exact"/>
        <w:textAlignment w:val="auto"/>
        <w:rPr>
          <w:rFonts w:hint="eastAsia" w:ascii="仿宋" w:hAnsi="仿宋" w:eastAsia="仿宋" w:cs="仿宋"/>
        </w:rPr>
      </w:pPr>
    </w:p>
    <w:p>
      <w:pPr>
        <w:pStyle w:val="3"/>
        <w:keepNext w:val="0"/>
        <w:keepLines w:val="0"/>
        <w:pageBreakBefore w:val="0"/>
        <w:widowControl/>
        <w:kinsoku/>
        <w:wordWrap/>
        <w:overflowPunct/>
        <w:topLinePunct w:val="0"/>
        <w:autoSpaceDN/>
        <w:bidi w:val="0"/>
        <w:ind w:firstLine="964" w:firstLineChars="300"/>
        <w:textAlignment w:val="auto"/>
        <w:rPr>
          <w:rFonts w:hint="eastAsia" w:ascii="仿宋" w:hAnsi="仿宋" w:eastAsia="仿宋" w:cs="仿宋"/>
          <w:b/>
          <w:bCs/>
        </w:rPr>
      </w:pPr>
      <w:r>
        <w:rPr>
          <w:rFonts w:hint="eastAsia" w:ascii="仿宋" w:hAnsi="仿宋" w:eastAsia="仿宋" w:cs="仿宋"/>
          <w:b/>
          <w:bCs/>
        </w:rPr>
        <w:t>三、支出决算情况说明</w:t>
      </w:r>
    </w:p>
    <w:p>
      <w:pPr>
        <w:pStyle w:val="3"/>
        <w:keepNext w:val="0"/>
        <w:keepLines w:val="0"/>
        <w:pageBreakBefore w:val="0"/>
        <w:widowControl/>
        <w:kinsoku/>
        <w:wordWrap/>
        <w:overflowPunct/>
        <w:topLinePunct w:val="0"/>
        <w:autoSpaceDE/>
        <w:autoSpaceDN/>
        <w:bidi w:val="0"/>
        <w:adjustRightInd/>
        <w:snapToGrid/>
        <w:spacing w:before="214" w:line="360" w:lineRule="auto"/>
        <w:ind w:left="320" w:leftChars="160" w:firstLine="640" w:firstLineChars="200"/>
        <w:textAlignment w:val="auto"/>
        <w:outlineLvl w:val="9"/>
        <w:rPr>
          <w:rFonts w:hint="eastAsia" w:ascii="仿宋" w:hAnsi="仿宋" w:eastAsia="仿宋" w:cs="仿宋"/>
          <w:lang w:eastAsia="zh-CN"/>
        </w:rPr>
      </w:pPr>
      <w:r>
        <w:rPr>
          <w:rFonts w:hint="eastAsia" w:ascii="仿宋" w:hAnsi="仿宋" w:eastAsia="仿宋" w:cs="仿宋"/>
        </w:rPr>
        <w:t>201</w:t>
      </w:r>
      <w:r>
        <w:rPr>
          <w:rFonts w:hint="eastAsia" w:ascii="仿宋" w:hAnsi="仿宋" w:eastAsia="仿宋" w:cs="仿宋"/>
          <w:lang w:val="en-US" w:eastAsia="zh-CN"/>
        </w:rPr>
        <w:t>9</w:t>
      </w:r>
      <w:r>
        <w:rPr>
          <w:rFonts w:hint="eastAsia" w:ascii="仿宋" w:hAnsi="仿宋" w:eastAsia="仿宋" w:cs="仿宋"/>
        </w:rPr>
        <w:t xml:space="preserve"> 年度支出合计</w:t>
      </w:r>
      <w:r>
        <w:rPr>
          <w:rFonts w:hint="eastAsia" w:ascii="仿宋" w:hAnsi="仿宋" w:eastAsia="仿宋" w:cs="仿宋"/>
          <w:lang w:val="en-US" w:eastAsia="zh-CN"/>
        </w:rPr>
        <w:t>15210.69</w:t>
      </w:r>
      <w:r>
        <w:rPr>
          <w:rFonts w:hint="eastAsia" w:ascii="仿宋" w:hAnsi="仿宋" w:eastAsia="仿宋" w:cs="仿宋"/>
        </w:rPr>
        <w:t>万元，其中：基本支</w:t>
      </w:r>
      <w:r>
        <w:rPr>
          <w:rFonts w:hint="eastAsia" w:ascii="仿宋" w:hAnsi="仿宋" w:eastAsia="仿宋" w:cs="仿宋"/>
          <w:lang w:val="en-US" w:eastAsia="zh-CN"/>
        </w:rPr>
        <w:t>出3196.69</w:t>
      </w:r>
      <w:r>
        <w:rPr>
          <w:rFonts w:hint="eastAsia" w:ascii="仿宋" w:hAnsi="仿宋" w:eastAsia="仿宋" w:cs="仿宋"/>
        </w:rPr>
        <w:t xml:space="preserve"> </w:t>
      </w:r>
      <w:r>
        <w:rPr>
          <w:rFonts w:hint="eastAsia" w:ascii="仿宋" w:hAnsi="仿宋" w:eastAsia="仿宋" w:cs="仿宋"/>
          <w:spacing w:val="21"/>
        </w:rPr>
        <w:t>万元</w:t>
      </w:r>
      <w:r>
        <w:rPr>
          <w:rFonts w:hint="eastAsia" w:ascii="仿宋" w:hAnsi="仿宋" w:eastAsia="仿宋" w:cs="仿宋"/>
          <w:spacing w:val="19"/>
        </w:rPr>
        <w:t>，</w:t>
      </w:r>
      <w:r>
        <w:rPr>
          <w:rFonts w:hint="eastAsia" w:ascii="仿宋" w:hAnsi="仿宋" w:eastAsia="仿宋" w:cs="仿宋"/>
        </w:rPr>
        <w:t>占</w:t>
      </w:r>
      <w:r>
        <w:rPr>
          <w:rFonts w:hint="eastAsia" w:ascii="仿宋" w:hAnsi="仿宋" w:eastAsia="仿宋" w:cs="仿宋"/>
          <w:lang w:val="en-US" w:eastAsia="zh-CN"/>
        </w:rPr>
        <w:t>21</w:t>
      </w:r>
      <w:r>
        <w:rPr>
          <w:rFonts w:hint="eastAsia" w:ascii="仿宋" w:hAnsi="仿宋" w:eastAsia="仿宋" w:cs="仿宋"/>
          <w:spacing w:val="8"/>
          <w:w w:val="99"/>
        </w:rPr>
        <w:drawing>
          <wp:inline distT="0" distB="0" distL="114300" distR="114300">
            <wp:extent cx="85090" cy="154940"/>
            <wp:effectExtent l="0" t="0" r="10160" b="1651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pic:cNvPicPr>
                      <a:picLocks noChangeAspect="1"/>
                    </pic:cNvPicPr>
                  </pic:nvPicPr>
                  <pic:blipFill>
                    <a:blip r:embed="rId5"/>
                    <a:stretch>
                      <a:fillRect/>
                    </a:stretch>
                  </pic:blipFill>
                  <pic:spPr>
                    <a:xfrm>
                      <a:off x="0" y="0"/>
                      <a:ext cx="85090" cy="154940"/>
                    </a:xfrm>
                    <a:prstGeom prst="rect">
                      <a:avLst/>
                    </a:prstGeom>
                    <a:noFill/>
                    <a:ln>
                      <a:noFill/>
                    </a:ln>
                  </pic:spPr>
                </pic:pic>
              </a:graphicData>
            </a:graphic>
          </wp:inline>
        </w:drawing>
      </w:r>
      <w:r>
        <w:rPr>
          <w:rFonts w:hint="eastAsia" w:ascii="仿宋" w:hAnsi="仿宋" w:eastAsia="仿宋" w:cs="仿宋"/>
          <w:spacing w:val="8"/>
          <w:w w:val="99"/>
          <w:lang w:eastAsia="zh-CN"/>
        </w:rPr>
        <w:t>；</w:t>
      </w:r>
      <w:r>
        <w:rPr>
          <w:rFonts w:hint="eastAsia" w:ascii="仿宋" w:hAnsi="仿宋" w:eastAsia="仿宋" w:cs="仿宋"/>
          <w:spacing w:val="21"/>
        </w:rPr>
        <w:t>项</w:t>
      </w:r>
      <w:r>
        <w:rPr>
          <w:rFonts w:hint="eastAsia" w:ascii="仿宋" w:hAnsi="仿宋" w:eastAsia="仿宋" w:cs="仿宋"/>
          <w:spacing w:val="19"/>
        </w:rPr>
        <w:t>目</w:t>
      </w:r>
      <w:r>
        <w:rPr>
          <w:rFonts w:hint="eastAsia" w:ascii="仿宋" w:hAnsi="仿宋" w:eastAsia="仿宋" w:cs="仿宋"/>
          <w:spacing w:val="21"/>
        </w:rPr>
        <w:t>支</w:t>
      </w:r>
      <w:r>
        <w:rPr>
          <w:rFonts w:hint="eastAsia" w:ascii="仿宋" w:hAnsi="仿宋" w:eastAsia="仿宋" w:cs="仿宋"/>
        </w:rPr>
        <w:t>出</w:t>
      </w:r>
      <w:r>
        <w:rPr>
          <w:rFonts w:hint="eastAsia" w:ascii="仿宋" w:hAnsi="仿宋" w:eastAsia="仿宋" w:cs="仿宋"/>
          <w:lang w:val="en-US" w:eastAsia="zh-CN"/>
        </w:rPr>
        <w:t>12014</w:t>
      </w:r>
      <w:r>
        <w:rPr>
          <w:rFonts w:hint="eastAsia" w:ascii="仿宋" w:hAnsi="仿宋" w:eastAsia="仿宋" w:cs="仿宋"/>
          <w:spacing w:val="21"/>
        </w:rPr>
        <w:t>万元</w:t>
      </w:r>
      <w:r>
        <w:rPr>
          <w:rFonts w:hint="eastAsia" w:ascii="仿宋" w:hAnsi="仿宋" w:eastAsia="仿宋" w:cs="仿宋"/>
          <w:spacing w:val="19"/>
        </w:rPr>
        <w:t>，</w:t>
      </w:r>
      <w:r>
        <w:rPr>
          <w:rFonts w:hint="eastAsia" w:ascii="仿宋" w:hAnsi="仿宋" w:eastAsia="仿宋" w:cs="仿宋"/>
        </w:rPr>
        <w:t>占</w:t>
      </w:r>
      <w:r>
        <w:rPr>
          <w:rFonts w:hint="eastAsia" w:ascii="仿宋" w:hAnsi="仿宋" w:eastAsia="仿宋" w:cs="仿宋"/>
          <w:lang w:val="en-US" w:eastAsia="zh-CN"/>
        </w:rPr>
        <w:t>79</w:t>
      </w:r>
      <w:r>
        <w:rPr>
          <w:rFonts w:hint="eastAsia" w:ascii="仿宋" w:hAnsi="仿宋" w:eastAsia="仿宋" w:cs="仿宋"/>
          <w:spacing w:val="11"/>
          <w:w w:val="99"/>
        </w:rPr>
        <w:drawing>
          <wp:inline distT="0" distB="0" distL="114300" distR="114300">
            <wp:extent cx="85090" cy="154940"/>
            <wp:effectExtent l="0" t="0" r="10160" b="165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5"/>
                    <a:stretch>
                      <a:fillRect/>
                    </a:stretch>
                  </pic:blipFill>
                  <pic:spPr>
                    <a:xfrm>
                      <a:off x="0" y="0"/>
                      <a:ext cx="85090" cy="154940"/>
                    </a:xfrm>
                    <a:prstGeom prst="rect">
                      <a:avLst/>
                    </a:prstGeom>
                    <a:noFill/>
                    <a:ln>
                      <a:noFill/>
                    </a:ln>
                  </pic:spPr>
                </pic:pic>
              </a:graphicData>
            </a:graphic>
          </wp:inline>
        </w:drawing>
      </w:r>
      <w:r>
        <w:rPr>
          <w:rFonts w:hint="eastAsia" w:ascii="仿宋" w:hAnsi="仿宋" w:eastAsia="仿宋" w:cs="仿宋"/>
          <w:spacing w:val="11"/>
          <w:w w:val="99"/>
          <w:lang w:eastAsia="zh-CN"/>
        </w:rPr>
        <w:t>。</w:t>
      </w:r>
    </w:p>
    <w:p>
      <w:pPr>
        <w:keepNext w:val="0"/>
        <w:keepLines w:val="0"/>
        <w:pageBreakBefore w:val="0"/>
        <w:widowControl/>
        <w:kinsoku/>
        <w:wordWrap/>
        <w:overflowPunct/>
        <w:topLinePunct w:val="0"/>
        <w:autoSpaceDN/>
        <w:bidi w:val="0"/>
        <w:spacing w:line="200" w:lineRule="exact"/>
        <w:textAlignment w:val="auto"/>
        <w:rPr>
          <w:rFonts w:hint="eastAsia" w:ascii="仿宋" w:hAnsi="仿宋" w:eastAsia="仿宋" w:cs="仿宋"/>
        </w:rPr>
      </w:pPr>
    </w:p>
    <w:p>
      <w:pPr>
        <w:pStyle w:val="3"/>
        <w:keepNext w:val="0"/>
        <w:keepLines w:val="0"/>
        <w:pageBreakBefore w:val="0"/>
        <w:widowControl/>
        <w:kinsoku/>
        <w:wordWrap/>
        <w:overflowPunct/>
        <w:topLinePunct w:val="0"/>
        <w:autoSpaceDN/>
        <w:bidi w:val="0"/>
        <w:spacing w:before="81"/>
        <w:ind w:firstLine="964" w:firstLineChars="300"/>
        <w:textAlignment w:val="auto"/>
        <w:rPr>
          <w:rFonts w:hint="eastAsia" w:ascii="仿宋" w:hAnsi="仿宋" w:eastAsia="仿宋" w:cs="仿宋"/>
          <w:b/>
          <w:bCs/>
        </w:rPr>
      </w:pPr>
      <w:r>
        <w:rPr>
          <w:rFonts w:hint="eastAsia" w:ascii="仿宋" w:hAnsi="仿宋" w:eastAsia="仿宋" w:cs="仿宋"/>
          <w:b/>
          <w:bCs/>
        </w:rPr>
        <w:t>四、财政拨款收入支出决算总体情况说明</w:t>
      </w:r>
    </w:p>
    <w:p>
      <w:pPr>
        <w:pStyle w:val="3"/>
        <w:keepNext w:val="0"/>
        <w:keepLines w:val="0"/>
        <w:pageBreakBefore w:val="0"/>
        <w:widowControl/>
        <w:kinsoku/>
        <w:wordWrap/>
        <w:overflowPunct/>
        <w:topLinePunct w:val="0"/>
        <w:autoSpaceDN/>
        <w:bidi w:val="0"/>
        <w:spacing w:before="214" w:line="364" w:lineRule="auto"/>
        <w:ind w:left="320" w:leftChars="160" w:right="596" w:firstLine="640" w:firstLineChars="200"/>
        <w:textAlignment w:val="auto"/>
        <w:rPr>
          <w:rFonts w:hint="eastAsia" w:ascii="仿宋" w:hAnsi="仿宋" w:eastAsia="仿宋" w:cs="仿宋"/>
        </w:rPr>
      </w:pPr>
      <w:r>
        <w:rPr>
          <w:rFonts w:hint="eastAsia" w:ascii="仿宋" w:hAnsi="仿宋" w:eastAsia="仿宋" w:cs="仿宋"/>
        </w:rPr>
        <w:t>201</w:t>
      </w:r>
      <w:r>
        <w:rPr>
          <w:rFonts w:hint="eastAsia" w:ascii="仿宋" w:hAnsi="仿宋" w:eastAsia="仿宋" w:cs="仿宋"/>
          <w:lang w:val="en-US" w:eastAsia="zh-CN"/>
        </w:rPr>
        <w:t>9</w:t>
      </w:r>
      <w:r>
        <w:rPr>
          <w:rFonts w:hint="eastAsia" w:ascii="仿宋" w:hAnsi="仿宋" w:eastAsia="仿宋" w:cs="仿宋"/>
          <w:spacing w:val="-13"/>
        </w:rPr>
        <w:t xml:space="preserve"> 年财政拨款收、支总计均为</w:t>
      </w:r>
      <w:r>
        <w:rPr>
          <w:rFonts w:hint="eastAsia" w:ascii="仿宋" w:hAnsi="仿宋" w:eastAsia="仿宋" w:cs="仿宋"/>
          <w:lang w:val="en-US" w:eastAsia="zh-CN"/>
        </w:rPr>
        <w:t>15210.69</w:t>
      </w:r>
      <w:r>
        <w:rPr>
          <w:rFonts w:hint="eastAsia" w:ascii="仿宋" w:hAnsi="仿宋" w:eastAsia="仿宋" w:cs="仿宋"/>
          <w:spacing w:val="-46"/>
        </w:rPr>
        <w:t xml:space="preserve"> 万元。与</w:t>
      </w:r>
      <w:r>
        <w:rPr>
          <w:rFonts w:hint="eastAsia" w:ascii="仿宋" w:hAnsi="仿宋" w:eastAsia="仿宋" w:cs="仿宋"/>
        </w:rPr>
        <w:t>201</w:t>
      </w:r>
      <w:r>
        <w:rPr>
          <w:rFonts w:hint="eastAsia" w:ascii="仿宋" w:hAnsi="仿宋" w:eastAsia="仿宋" w:cs="仿宋"/>
          <w:lang w:val="en-US" w:eastAsia="zh-CN"/>
        </w:rPr>
        <w:t>8</w:t>
      </w:r>
      <w:r>
        <w:rPr>
          <w:rFonts w:hint="eastAsia" w:ascii="仿宋" w:hAnsi="仿宋" w:eastAsia="仿宋" w:cs="仿宋"/>
        </w:rPr>
        <w:t xml:space="preserve"> </w:t>
      </w:r>
      <w:r>
        <w:rPr>
          <w:rFonts w:hint="eastAsia" w:ascii="仿宋" w:hAnsi="仿宋" w:eastAsia="仿宋" w:cs="仿宋"/>
          <w:spacing w:val="-9"/>
        </w:rPr>
        <w:t>年相比，财政拨款收、支</w:t>
      </w:r>
      <w:r>
        <w:rPr>
          <w:rFonts w:hint="eastAsia" w:ascii="仿宋" w:hAnsi="仿宋" w:eastAsia="仿宋" w:cs="仿宋"/>
          <w:spacing w:val="-9"/>
          <w:lang w:val="en-US" w:eastAsia="zh-CN"/>
        </w:rPr>
        <w:t>各减少了11639.05万元，主要是征地和拆迁补偿收支减少</w:t>
      </w:r>
      <w:r>
        <w:rPr>
          <w:rFonts w:hint="eastAsia" w:ascii="仿宋" w:hAnsi="仿宋" w:eastAsia="仿宋" w:cs="仿宋"/>
          <w:spacing w:val="-5"/>
        </w:rPr>
        <w:t>。</w:t>
      </w:r>
    </w:p>
    <w:p>
      <w:pPr>
        <w:pStyle w:val="3"/>
        <w:keepNext w:val="0"/>
        <w:keepLines w:val="0"/>
        <w:pageBreakBefore w:val="0"/>
        <w:widowControl/>
        <w:kinsoku/>
        <w:wordWrap/>
        <w:overflowPunct/>
        <w:topLinePunct w:val="0"/>
        <w:autoSpaceDN/>
        <w:bidi w:val="0"/>
        <w:spacing w:before="30"/>
        <w:ind w:firstLine="964" w:firstLineChars="300"/>
        <w:textAlignment w:val="auto"/>
        <w:rPr>
          <w:rFonts w:hint="eastAsia" w:ascii="仿宋" w:hAnsi="仿宋" w:eastAsia="仿宋" w:cs="仿宋"/>
          <w:b/>
          <w:bCs/>
        </w:rPr>
      </w:pPr>
      <w:r>
        <w:rPr>
          <w:rFonts w:hint="eastAsia" w:ascii="仿宋" w:hAnsi="仿宋" w:eastAsia="仿宋" w:cs="仿宋"/>
          <w:b/>
          <w:bCs/>
        </w:rPr>
        <w:t>五、关于一般公共预算财政拨款支出决算情况说明</w:t>
      </w:r>
    </w:p>
    <w:p>
      <w:pPr>
        <w:pStyle w:val="3"/>
        <w:keepNext w:val="0"/>
        <w:keepLines w:val="0"/>
        <w:pageBreakBefore w:val="0"/>
        <w:widowControl/>
        <w:kinsoku/>
        <w:wordWrap/>
        <w:overflowPunct/>
        <w:topLinePunct w:val="0"/>
        <w:autoSpaceDN/>
        <w:bidi w:val="0"/>
        <w:spacing w:before="214"/>
        <w:ind w:left="960"/>
        <w:textAlignment w:val="auto"/>
        <w:rPr>
          <w:rFonts w:hint="eastAsia" w:ascii="仿宋" w:hAnsi="仿宋" w:eastAsia="仿宋" w:cs="仿宋"/>
          <w:b/>
          <w:bCs/>
        </w:rPr>
      </w:pPr>
      <w:r>
        <w:rPr>
          <w:rFonts w:hint="eastAsia" w:ascii="仿宋" w:hAnsi="仿宋" w:eastAsia="仿宋" w:cs="仿宋"/>
          <w:b/>
          <w:bCs/>
        </w:rPr>
        <w:t>（一）总体情况</w:t>
      </w:r>
    </w:p>
    <w:p>
      <w:pPr>
        <w:pStyle w:val="3"/>
        <w:keepNext w:val="0"/>
        <w:keepLines w:val="0"/>
        <w:pageBreakBefore w:val="0"/>
        <w:widowControl/>
        <w:kinsoku/>
        <w:wordWrap/>
        <w:overflowPunct/>
        <w:topLinePunct w:val="0"/>
        <w:autoSpaceDN/>
        <w:bidi w:val="0"/>
        <w:spacing w:before="214"/>
        <w:ind w:left="960"/>
        <w:textAlignment w:val="auto"/>
        <w:rPr>
          <w:rFonts w:hint="eastAsia" w:ascii="仿宋" w:hAnsi="仿宋" w:eastAsia="仿宋" w:cs="仿宋"/>
        </w:rPr>
      </w:pPr>
      <w:r>
        <w:rPr>
          <w:rFonts w:hint="eastAsia" w:ascii="仿宋" w:hAnsi="仿宋" w:eastAsia="仿宋" w:cs="仿宋"/>
        </w:rPr>
        <w:t>20</w:t>
      </w:r>
      <w:r>
        <w:rPr>
          <w:rFonts w:hint="eastAsia" w:ascii="仿宋" w:hAnsi="仿宋" w:eastAsia="仿宋" w:cs="仿宋"/>
          <w:lang w:val="en-US" w:eastAsia="zh-CN"/>
        </w:rPr>
        <w:t>19</w:t>
      </w:r>
      <w:r>
        <w:rPr>
          <w:rFonts w:hint="eastAsia" w:ascii="仿宋" w:hAnsi="仿宋" w:eastAsia="仿宋" w:cs="仿宋"/>
          <w:spacing w:val="-9"/>
        </w:rPr>
        <w:t xml:space="preserve">年一般公共预算财政拨款支出 </w:t>
      </w:r>
      <w:r>
        <w:rPr>
          <w:rFonts w:hint="eastAsia" w:ascii="仿宋" w:hAnsi="仿宋" w:eastAsia="仿宋" w:cs="仿宋"/>
          <w:lang w:val="en-US" w:eastAsia="zh-CN"/>
        </w:rPr>
        <w:t>2687.69</w:t>
      </w:r>
      <w:r>
        <w:rPr>
          <w:rFonts w:hint="eastAsia" w:ascii="仿宋" w:hAnsi="仿宋" w:eastAsia="仿宋" w:cs="仿宋"/>
          <w:spacing w:val="-20"/>
        </w:rPr>
        <w:t>万元，占</w:t>
      </w:r>
    </w:p>
    <w:p>
      <w:pPr>
        <w:pStyle w:val="3"/>
        <w:keepNext w:val="0"/>
        <w:keepLines w:val="0"/>
        <w:pageBreakBefore w:val="0"/>
        <w:widowControl/>
        <w:kinsoku/>
        <w:wordWrap/>
        <w:overflowPunct/>
        <w:topLinePunct w:val="0"/>
        <w:autoSpaceDN/>
        <w:bidi w:val="0"/>
        <w:spacing w:before="219"/>
        <w:ind w:left="320"/>
        <w:jc w:val="both"/>
        <w:textAlignment w:val="auto"/>
        <w:rPr>
          <w:rFonts w:hint="eastAsia" w:ascii="仿宋" w:hAnsi="仿宋" w:eastAsia="仿宋" w:cs="仿宋"/>
        </w:rPr>
      </w:pPr>
      <w:r>
        <w:rPr>
          <w:rFonts w:hint="eastAsia" w:ascii="仿宋" w:hAnsi="仿宋" w:eastAsia="仿宋" w:cs="仿宋"/>
          <w:spacing w:val="7"/>
        </w:rPr>
        <w:t>支出</w:t>
      </w:r>
      <w:r>
        <w:rPr>
          <w:rFonts w:hint="eastAsia" w:ascii="仿宋" w:hAnsi="仿宋" w:eastAsia="仿宋" w:cs="仿宋"/>
          <w:spacing w:val="9"/>
        </w:rPr>
        <w:t>合</w:t>
      </w:r>
      <w:r>
        <w:rPr>
          <w:rFonts w:hint="eastAsia" w:ascii="仿宋" w:hAnsi="仿宋" w:eastAsia="仿宋" w:cs="仿宋"/>
          <w:spacing w:val="7"/>
        </w:rPr>
        <w:t>计</w:t>
      </w:r>
      <w:r>
        <w:rPr>
          <w:rFonts w:hint="eastAsia" w:ascii="仿宋" w:hAnsi="仿宋" w:eastAsia="仿宋" w:cs="仿宋"/>
        </w:rPr>
        <w:t>的</w:t>
      </w:r>
      <w:r>
        <w:rPr>
          <w:rFonts w:hint="eastAsia" w:ascii="仿宋" w:hAnsi="仿宋" w:eastAsia="仿宋" w:cs="仿宋"/>
          <w:spacing w:val="15"/>
        </w:rPr>
        <w:t xml:space="preserve"> </w:t>
      </w:r>
      <w:r>
        <w:rPr>
          <w:rFonts w:hint="eastAsia" w:ascii="仿宋" w:hAnsi="仿宋" w:eastAsia="仿宋" w:cs="仿宋"/>
          <w:spacing w:val="15"/>
          <w:lang w:val="en-US" w:eastAsia="zh-CN"/>
        </w:rPr>
        <w:t>18</w:t>
      </w:r>
      <w:r>
        <w:rPr>
          <w:rFonts w:hint="eastAsia" w:ascii="仿宋" w:hAnsi="仿宋" w:eastAsia="仿宋" w:cs="仿宋"/>
          <w:spacing w:val="8"/>
          <w:w w:val="99"/>
        </w:rPr>
        <w:drawing>
          <wp:inline distT="0" distB="0" distL="114300" distR="114300">
            <wp:extent cx="85090" cy="154940"/>
            <wp:effectExtent l="0" t="0" r="10160" b="16510"/>
            <wp:docPr id="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2"/>
                    <pic:cNvPicPr>
                      <a:picLocks noChangeAspect="1"/>
                    </pic:cNvPicPr>
                  </pic:nvPicPr>
                  <pic:blipFill>
                    <a:blip r:embed="rId5"/>
                    <a:stretch>
                      <a:fillRect/>
                    </a:stretch>
                  </pic:blipFill>
                  <pic:spPr>
                    <a:xfrm>
                      <a:off x="0" y="0"/>
                      <a:ext cx="85090" cy="154940"/>
                    </a:xfrm>
                    <a:prstGeom prst="rect">
                      <a:avLst/>
                    </a:prstGeom>
                    <a:noFill/>
                    <a:ln>
                      <a:noFill/>
                    </a:ln>
                  </pic:spPr>
                </pic:pic>
              </a:graphicData>
            </a:graphic>
          </wp:inline>
        </w:drawing>
      </w:r>
      <w:r>
        <w:rPr>
          <w:rFonts w:hint="eastAsia" w:ascii="仿宋" w:hAnsi="仿宋" w:eastAsia="仿宋" w:cs="仿宋"/>
          <w:spacing w:val="7"/>
        </w:rPr>
        <w:t>。</w:t>
      </w:r>
      <w:r>
        <w:rPr>
          <w:rFonts w:hint="eastAsia" w:ascii="仿宋" w:hAnsi="仿宋" w:eastAsia="仿宋" w:cs="仿宋"/>
        </w:rPr>
        <w:t>与</w:t>
      </w:r>
      <w:r>
        <w:rPr>
          <w:rFonts w:hint="eastAsia" w:ascii="仿宋" w:hAnsi="仿宋" w:eastAsia="仿宋" w:cs="仿宋"/>
          <w:spacing w:val="-80"/>
        </w:rPr>
        <w:t xml:space="preserve"> </w:t>
      </w:r>
      <w:r>
        <w:rPr>
          <w:rFonts w:hint="eastAsia" w:ascii="仿宋" w:hAnsi="仿宋" w:eastAsia="仿宋" w:cs="仿宋"/>
        </w:rPr>
        <w:t>201</w:t>
      </w:r>
      <w:r>
        <w:rPr>
          <w:rFonts w:hint="eastAsia" w:ascii="仿宋" w:hAnsi="仿宋" w:eastAsia="仿宋" w:cs="仿宋"/>
          <w:lang w:val="en-US" w:eastAsia="zh-CN"/>
        </w:rPr>
        <w:t>8</w:t>
      </w:r>
      <w:r>
        <w:rPr>
          <w:rFonts w:hint="eastAsia" w:ascii="仿宋" w:hAnsi="仿宋" w:eastAsia="仿宋" w:cs="仿宋"/>
          <w:spacing w:val="7"/>
        </w:rPr>
        <w:t>年相</w:t>
      </w:r>
      <w:r>
        <w:rPr>
          <w:rFonts w:hint="eastAsia" w:ascii="仿宋" w:hAnsi="仿宋" w:eastAsia="仿宋" w:cs="仿宋"/>
          <w:spacing w:val="9"/>
        </w:rPr>
        <w:t>比</w:t>
      </w:r>
      <w:r>
        <w:rPr>
          <w:rFonts w:hint="eastAsia" w:ascii="仿宋" w:hAnsi="仿宋" w:eastAsia="仿宋" w:cs="仿宋"/>
          <w:spacing w:val="7"/>
        </w:rPr>
        <w:t>，一般</w:t>
      </w:r>
      <w:r>
        <w:rPr>
          <w:rFonts w:hint="eastAsia" w:ascii="仿宋" w:hAnsi="仿宋" w:eastAsia="仿宋" w:cs="仿宋"/>
          <w:spacing w:val="9"/>
        </w:rPr>
        <w:t>公</w:t>
      </w:r>
      <w:r>
        <w:rPr>
          <w:rFonts w:hint="eastAsia" w:ascii="仿宋" w:hAnsi="仿宋" w:eastAsia="仿宋" w:cs="仿宋"/>
          <w:spacing w:val="7"/>
        </w:rPr>
        <w:t>共预算</w:t>
      </w:r>
      <w:r>
        <w:rPr>
          <w:rFonts w:hint="eastAsia" w:ascii="仿宋" w:hAnsi="仿宋" w:eastAsia="仿宋" w:cs="仿宋"/>
          <w:spacing w:val="9"/>
        </w:rPr>
        <w:t>财</w:t>
      </w:r>
      <w:r>
        <w:rPr>
          <w:rFonts w:hint="eastAsia" w:ascii="仿宋" w:hAnsi="仿宋" w:eastAsia="仿宋" w:cs="仿宋"/>
        </w:rPr>
        <w:t>政</w:t>
      </w:r>
    </w:p>
    <w:p>
      <w:pPr>
        <w:pStyle w:val="3"/>
        <w:keepNext w:val="0"/>
        <w:keepLines w:val="0"/>
        <w:pageBreakBefore w:val="0"/>
        <w:widowControl/>
        <w:kinsoku/>
        <w:wordWrap/>
        <w:overflowPunct/>
        <w:topLinePunct w:val="0"/>
        <w:autoSpaceDN/>
        <w:bidi w:val="0"/>
        <w:spacing w:before="214" w:line="362" w:lineRule="auto"/>
        <w:ind w:left="320" w:right="597"/>
        <w:jc w:val="both"/>
        <w:textAlignment w:val="auto"/>
        <w:rPr>
          <w:rFonts w:hint="eastAsia" w:ascii="仿宋" w:hAnsi="仿宋" w:eastAsia="仿宋" w:cs="仿宋"/>
          <w:lang w:val="en-US"/>
        </w:rPr>
      </w:pPr>
      <w:r>
        <w:rPr>
          <w:rFonts w:hint="eastAsia" w:ascii="仿宋" w:hAnsi="仿宋" w:eastAsia="仿宋" w:cs="仿宋"/>
        </w:rPr>
        <w:t>拨款支出</w:t>
      </w:r>
      <w:r>
        <w:rPr>
          <w:rFonts w:hint="eastAsia" w:ascii="仿宋" w:hAnsi="仿宋" w:eastAsia="仿宋" w:cs="仿宋"/>
          <w:lang w:val="en-US" w:eastAsia="zh-CN"/>
        </w:rPr>
        <w:t>减少了1645.05万元，主要国土资源海洋气象等支出中的国土整治支出减少。</w:t>
      </w:r>
    </w:p>
    <w:p>
      <w:pPr>
        <w:pStyle w:val="3"/>
        <w:keepNext w:val="0"/>
        <w:keepLines w:val="0"/>
        <w:pageBreakBefore w:val="0"/>
        <w:widowControl/>
        <w:kinsoku/>
        <w:wordWrap/>
        <w:overflowPunct/>
        <w:topLinePunct w:val="0"/>
        <w:autoSpaceDN/>
        <w:bidi w:val="0"/>
        <w:spacing w:before="5"/>
        <w:ind w:firstLine="643" w:firstLineChars="200"/>
        <w:textAlignment w:val="auto"/>
        <w:rPr>
          <w:rFonts w:hint="eastAsia" w:ascii="仿宋" w:hAnsi="仿宋" w:eastAsia="仿宋" w:cs="仿宋"/>
          <w:b/>
          <w:bCs/>
        </w:rPr>
      </w:pPr>
      <w:r>
        <w:rPr>
          <w:rFonts w:hint="eastAsia" w:ascii="仿宋" w:hAnsi="仿宋" w:eastAsia="仿宋" w:cs="仿宋"/>
          <w:b/>
          <w:bCs/>
          <w:lang w:eastAsia="zh-CN"/>
        </w:rPr>
        <w:t>（</w:t>
      </w:r>
      <w:r>
        <w:rPr>
          <w:rFonts w:hint="eastAsia" w:ascii="仿宋" w:hAnsi="仿宋" w:eastAsia="仿宋" w:cs="仿宋"/>
          <w:b/>
          <w:bCs/>
          <w:lang w:val="en-US" w:eastAsia="zh-CN"/>
        </w:rPr>
        <w:t>二</w:t>
      </w:r>
      <w:r>
        <w:rPr>
          <w:rFonts w:hint="eastAsia" w:ascii="仿宋" w:hAnsi="仿宋" w:eastAsia="仿宋" w:cs="仿宋"/>
          <w:b/>
          <w:bCs/>
          <w:lang w:eastAsia="zh-CN"/>
        </w:rPr>
        <w:t>）</w:t>
      </w:r>
      <w:r>
        <w:rPr>
          <w:rFonts w:hint="eastAsia" w:ascii="仿宋" w:hAnsi="仿宋" w:eastAsia="仿宋" w:cs="仿宋"/>
          <w:b/>
          <w:bCs/>
        </w:rPr>
        <w:t>结构情况</w:t>
      </w:r>
    </w:p>
    <w:p>
      <w:pPr>
        <w:pStyle w:val="3"/>
        <w:keepNext w:val="0"/>
        <w:keepLines w:val="0"/>
        <w:pageBreakBefore w:val="0"/>
        <w:widowControl/>
        <w:kinsoku/>
        <w:wordWrap/>
        <w:overflowPunct/>
        <w:topLinePunct w:val="0"/>
        <w:autoSpaceDN/>
        <w:bidi w:val="0"/>
        <w:spacing w:before="283" w:line="343" w:lineRule="auto"/>
        <w:ind w:left="320" w:right="585" w:firstLine="640"/>
        <w:jc w:val="both"/>
        <w:textAlignment w:val="auto"/>
        <w:rPr>
          <w:rFonts w:hint="eastAsia" w:ascii="仿宋" w:hAnsi="仿宋" w:eastAsia="仿宋" w:cs="仿宋"/>
        </w:rPr>
      </w:pPr>
      <w:r>
        <w:rPr>
          <w:rFonts w:hint="eastAsia" w:ascii="仿宋" w:hAnsi="仿宋" w:eastAsia="仿宋" w:cs="仿宋"/>
        </w:rPr>
        <w:t>201</w:t>
      </w:r>
      <w:r>
        <w:rPr>
          <w:rFonts w:hint="eastAsia" w:ascii="仿宋" w:hAnsi="仿宋" w:eastAsia="仿宋" w:cs="仿宋"/>
          <w:lang w:val="en-US" w:eastAsia="zh-CN"/>
        </w:rPr>
        <w:t>9</w:t>
      </w:r>
      <w:r>
        <w:rPr>
          <w:rFonts w:hint="eastAsia" w:ascii="仿宋" w:hAnsi="仿宋" w:eastAsia="仿宋" w:cs="仿宋"/>
          <w:spacing w:val="-8"/>
        </w:rPr>
        <w:t>年度一般公共预算财政拨款支出</w:t>
      </w:r>
      <w:r>
        <w:rPr>
          <w:rFonts w:hint="eastAsia" w:ascii="仿宋" w:hAnsi="仿宋" w:eastAsia="仿宋" w:cs="仿宋"/>
          <w:lang w:val="en-US" w:eastAsia="zh-CN"/>
        </w:rPr>
        <w:t>2687.69</w:t>
      </w:r>
      <w:r>
        <w:rPr>
          <w:rFonts w:hint="eastAsia" w:ascii="仿宋" w:hAnsi="仿宋" w:eastAsia="仿宋" w:cs="仿宋"/>
          <w:spacing w:val="-21"/>
        </w:rPr>
        <w:t xml:space="preserve">万元， </w:t>
      </w:r>
      <w:r>
        <w:rPr>
          <w:rFonts w:hint="eastAsia" w:ascii="仿宋" w:hAnsi="仿宋" w:eastAsia="仿宋" w:cs="仿宋"/>
          <w:spacing w:val="-14"/>
        </w:rPr>
        <w:t>主要用于以下方面：</w:t>
      </w:r>
      <w:r>
        <w:rPr>
          <w:rFonts w:hint="eastAsia" w:ascii="仿宋" w:hAnsi="仿宋" w:eastAsia="仿宋" w:cs="仿宋"/>
          <w:spacing w:val="-14"/>
          <w:lang w:val="en-US" w:eastAsia="zh-CN"/>
        </w:rPr>
        <w:t>自然资源</w:t>
      </w:r>
      <w:r>
        <w:rPr>
          <w:rFonts w:hint="eastAsia" w:ascii="仿宋" w:hAnsi="仿宋" w:eastAsia="仿宋" w:cs="仿宋"/>
          <w:spacing w:val="-14"/>
          <w:lang w:eastAsia="zh-CN"/>
        </w:rPr>
        <w:t>海洋气象等</w:t>
      </w:r>
      <w:r>
        <w:rPr>
          <w:rFonts w:hint="eastAsia" w:ascii="仿宋" w:hAnsi="仿宋" w:eastAsia="仿宋" w:cs="仿宋"/>
          <w:spacing w:val="-14"/>
        </w:rPr>
        <w:t xml:space="preserve"> </w:t>
      </w:r>
      <w:r>
        <w:rPr>
          <w:rFonts w:hint="eastAsia" w:ascii="仿宋" w:hAnsi="仿宋" w:eastAsia="仿宋" w:cs="仿宋"/>
          <w:spacing w:val="-14"/>
          <w:lang w:eastAsia="zh-CN"/>
        </w:rPr>
        <w:t>支出</w:t>
      </w:r>
      <w:r>
        <w:rPr>
          <w:rFonts w:hint="eastAsia" w:ascii="仿宋" w:hAnsi="仿宋" w:eastAsia="仿宋" w:cs="仿宋"/>
        </w:rPr>
        <w:t>（类</w:t>
      </w:r>
      <w:r>
        <w:rPr>
          <w:rFonts w:hint="eastAsia" w:ascii="仿宋" w:hAnsi="仿宋" w:eastAsia="仿宋" w:cs="仿宋"/>
          <w:spacing w:val="-5"/>
        </w:rPr>
        <w:t>）</w:t>
      </w:r>
      <w:r>
        <w:rPr>
          <w:rFonts w:hint="eastAsia" w:ascii="仿宋" w:hAnsi="仿宋" w:eastAsia="仿宋" w:cs="仿宋"/>
          <w:spacing w:val="-28"/>
        </w:rPr>
        <w:t xml:space="preserve">支出 </w:t>
      </w:r>
      <w:r>
        <w:rPr>
          <w:rFonts w:hint="eastAsia" w:ascii="仿宋" w:hAnsi="仿宋" w:eastAsia="仿宋" w:cs="仿宋"/>
          <w:lang w:val="en-US" w:eastAsia="zh-CN"/>
        </w:rPr>
        <w:t>2611</w:t>
      </w:r>
      <w:r>
        <w:rPr>
          <w:rFonts w:hint="eastAsia" w:ascii="仿宋" w:hAnsi="仿宋" w:eastAsia="仿宋" w:cs="仿宋"/>
          <w:spacing w:val="-41"/>
        </w:rPr>
        <w:t>万</w:t>
      </w:r>
      <w:r>
        <w:rPr>
          <w:rFonts w:hint="eastAsia" w:ascii="仿宋" w:hAnsi="仿宋" w:eastAsia="仿宋" w:cs="仿宋"/>
          <w:spacing w:val="-41"/>
          <w:position w:val="1"/>
        </w:rPr>
        <w:t>元，占</w:t>
      </w:r>
      <w:r>
        <w:rPr>
          <w:rFonts w:hint="eastAsia" w:ascii="仿宋" w:hAnsi="仿宋" w:eastAsia="仿宋" w:cs="仿宋"/>
          <w:spacing w:val="-41"/>
          <w:position w:val="1"/>
          <w:lang w:val="en-US" w:eastAsia="zh-CN"/>
        </w:rPr>
        <w:t>97</w:t>
      </w:r>
      <w:r>
        <w:rPr>
          <w:rFonts w:hint="eastAsia" w:ascii="仿宋" w:hAnsi="仿宋" w:eastAsia="仿宋" w:cs="仿宋"/>
          <w:spacing w:val="-83"/>
          <w:position w:val="1"/>
        </w:rPr>
        <w:t xml:space="preserve"> </w:t>
      </w:r>
      <w:r>
        <w:rPr>
          <w:rFonts w:hint="eastAsia" w:ascii="仿宋" w:hAnsi="仿宋" w:eastAsia="仿宋" w:cs="仿宋"/>
          <w:spacing w:val="11"/>
          <w:w w:val="99"/>
        </w:rPr>
        <w:drawing>
          <wp:inline distT="0" distB="0" distL="114300" distR="114300">
            <wp:extent cx="85090" cy="154940"/>
            <wp:effectExtent l="0" t="0" r="10160" b="16510"/>
            <wp:docPr id="9"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3"/>
                    <pic:cNvPicPr>
                      <a:picLocks noChangeAspect="1"/>
                    </pic:cNvPicPr>
                  </pic:nvPicPr>
                  <pic:blipFill>
                    <a:blip r:embed="rId5"/>
                    <a:stretch>
                      <a:fillRect/>
                    </a:stretch>
                  </pic:blipFill>
                  <pic:spPr>
                    <a:xfrm>
                      <a:off x="0" y="0"/>
                      <a:ext cx="85090" cy="154940"/>
                    </a:xfrm>
                    <a:prstGeom prst="rect">
                      <a:avLst/>
                    </a:prstGeom>
                    <a:noFill/>
                    <a:ln>
                      <a:noFill/>
                    </a:ln>
                  </pic:spPr>
                </pic:pic>
              </a:graphicData>
            </a:graphic>
          </wp:inline>
        </w:drawing>
      </w:r>
      <w:r>
        <w:rPr>
          <w:rFonts w:hint="eastAsia" w:ascii="仿宋" w:hAnsi="仿宋" w:eastAsia="仿宋" w:cs="仿宋"/>
          <w:position w:val="1"/>
        </w:rPr>
        <w:t>；社会保障和就业（类）支出</w:t>
      </w:r>
      <w:r>
        <w:rPr>
          <w:rFonts w:hint="eastAsia" w:ascii="仿宋" w:hAnsi="仿宋" w:eastAsia="仿宋" w:cs="仿宋"/>
          <w:spacing w:val="-5"/>
          <w:position w:val="1"/>
          <w:lang w:val="en-US" w:eastAsia="zh-CN"/>
        </w:rPr>
        <w:t>21.01</w:t>
      </w:r>
      <w:r>
        <w:rPr>
          <w:rFonts w:hint="eastAsia" w:ascii="仿宋" w:hAnsi="仿宋" w:eastAsia="仿宋" w:cs="仿宋"/>
          <w:position w:val="1"/>
        </w:rPr>
        <w:t>万元，</w:t>
      </w:r>
      <w:r>
        <w:rPr>
          <w:rFonts w:hint="eastAsia" w:ascii="仿宋" w:hAnsi="仿宋" w:eastAsia="仿宋" w:cs="仿宋"/>
          <w:lang w:val="en-US" w:eastAsia="zh-CN"/>
        </w:rPr>
        <w:t>占1%；卫生健康</w:t>
      </w:r>
      <w:r>
        <w:rPr>
          <w:rFonts w:hint="eastAsia" w:ascii="仿宋" w:hAnsi="仿宋" w:eastAsia="仿宋" w:cs="仿宋"/>
        </w:rPr>
        <w:t>（类</w:t>
      </w:r>
      <w:r>
        <w:rPr>
          <w:rFonts w:hint="eastAsia" w:ascii="仿宋" w:hAnsi="仿宋" w:eastAsia="仿宋" w:cs="仿宋"/>
          <w:spacing w:val="-3"/>
        </w:rPr>
        <w:t>）</w:t>
      </w:r>
      <w:r>
        <w:rPr>
          <w:rFonts w:hint="eastAsia" w:ascii="仿宋" w:hAnsi="仿宋" w:eastAsia="仿宋" w:cs="仿宋"/>
        </w:rPr>
        <w:t>支出</w:t>
      </w:r>
      <w:r>
        <w:rPr>
          <w:rFonts w:hint="eastAsia" w:ascii="仿宋" w:hAnsi="仿宋" w:eastAsia="仿宋" w:cs="仿宋"/>
          <w:lang w:val="en-US" w:eastAsia="zh-CN"/>
        </w:rPr>
        <w:t>55.68</w:t>
      </w:r>
      <w:r>
        <w:rPr>
          <w:rFonts w:hint="eastAsia" w:ascii="仿宋" w:hAnsi="仿宋" w:eastAsia="仿宋" w:cs="仿宋"/>
        </w:rPr>
        <w:t>万元</w:t>
      </w:r>
      <w:r>
        <w:rPr>
          <w:rFonts w:hint="eastAsia" w:ascii="仿宋" w:hAnsi="仿宋" w:eastAsia="仿宋" w:cs="仿宋"/>
          <w:spacing w:val="-3"/>
        </w:rPr>
        <w:t>，</w:t>
      </w:r>
      <w:r>
        <w:rPr>
          <w:rFonts w:hint="eastAsia" w:ascii="仿宋" w:hAnsi="仿宋" w:eastAsia="仿宋" w:cs="仿宋"/>
        </w:rPr>
        <w:t>占</w:t>
      </w:r>
      <w:r>
        <w:rPr>
          <w:rFonts w:hint="eastAsia" w:ascii="仿宋" w:hAnsi="仿宋" w:eastAsia="仿宋" w:cs="仿宋"/>
          <w:lang w:val="en-US" w:eastAsia="zh-CN"/>
        </w:rPr>
        <w:t>2</w:t>
      </w:r>
      <w:r>
        <w:rPr>
          <w:rFonts w:hint="eastAsia" w:ascii="仿宋" w:hAnsi="仿宋" w:eastAsia="仿宋" w:cs="仿宋"/>
          <w:spacing w:val="11"/>
          <w:w w:val="99"/>
        </w:rPr>
        <w:drawing>
          <wp:inline distT="0" distB="0" distL="114300" distR="114300">
            <wp:extent cx="85090" cy="154940"/>
            <wp:effectExtent l="0" t="0" r="10160" b="16510"/>
            <wp:docPr id="1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4"/>
                    <pic:cNvPicPr>
                      <a:picLocks noChangeAspect="1"/>
                    </pic:cNvPicPr>
                  </pic:nvPicPr>
                  <pic:blipFill>
                    <a:blip r:embed="rId5"/>
                    <a:stretch>
                      <a:fillRect/>
                    </a:stretch>
                  </pic:blipFill>
                  <pic:spPr>
                    <a:xfrm>
                      <a:off x="0" y="0"/>
                      <a:ext cx="85090" cy="154940"/>
                    </a:xfrm>
                    <a:prstGeom prst="rect">
                      <a:avLst/>
                    </a:prstGeom>
                    <a:noFill/>
                    <a:ln>
                      <a:noFill/>
                    </a:ln>
                  </pic:spPr>
                </pic:pic>
              </a:graphicData>
            </a:graphic>
          </wp:inline>
        </w:drawing>
      </w:r>
      <w:r>
        <w:rPr>
          <w:rFonts w:hint="eastAsia" w:ascii="仿宋" w:hAnsi="仿宋" w:eastAsia="仿宋" w:cs="仿宋"/>
          <w:spacing w:val="-3"/>
        </w:rPr>
        <w:t>；</w:t>
      </w:r>
    </w:p>
    <w:p>
      <w:pPr>
        <w:pStyle w:val="3"/>
        <w:keepNext w:val="0"/>
        <w:keepLines w:val="0"/>
        <w:pageBreakBefore w:val="0"/>
        <w:widowControl/>
        <w:kinsoku/>
        <w:wordWrap/>
        <w:overflowPunct/>
        <w:topLinePunct w:val="0"/>
        <w:autoSpaceDN/>
        <w:bidi w:val="0"/>
        <w:spacing w:before="214" w:line="362" w:lineRule="auto"/>
        <w:ind w:left="320" w:right="597"/>
        <w:jc w:val="both"/>
        <w:textAlignment w:val="auto"/>
        <w:rPr>
          <w:rFonts w:hint="eastAsia" w:ascii="仿宋" w:hAnsi="仿宋" w:eastAsia="仿宋" w:cs="仿宋"/>
          <w:b/>
          <w:bCs/>
          <w:lang w:val="en-US" w:eastAsia="zh-CN"/>
        </w:rPr>
      </w:pPr>
      <w:r>
        <w:rPr>
          <w:rFonts w:hint="eastAsia" w:ascii="仿宋" w:hAnsi="仿宋" w:eastAsia="仿宋" w:cs="仿宋"/>
          <w:b/>
          <w:bCs/>
          <w:lang w:val="en-US" w:eastAsia="zh-CN"/>
        </w:rPr>
        <w:t>（三）具体情况。</w:t>
      </w:r>
    </w:p>
    <w:p>
      <w:pPr>
        <w:pStyle w:val="3"/>
        <w:keepNext w:val="0"/>
        <w:keepLines w:val="0"/>
        <w:pageBreakBefore w:val="0"/>
        <w:widowControl/>
        <w:kinsoku/>
        <w:wordWrap/>
        <w:overflowPunct/>
        <w:topLinePunct w:val="0"/>
        <w:autoSpaceDN/>
        <w:bidi w:val="0"/>
        <w:spacing w:before="214" w:line="362" w:lineRule="auto"/>
        <w:ind w:right="597"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lang w:val="en-US" w:eastAsia="zh-CN"/>
        </w:rPr>
        <w:t>2019年度一般公共预算财政拨款支出年初预算为2707.69万元，支出决算为2687.69万元，完成年初预算的99</w:t>
      </w:r>
      <w:r>
        <w:rPr>
          <w:rFonts w:hint="eastAsia" w:ascii="仿宋" w:hAnsi="仿宋" w:eastAsia="仿宋" w:cs="仿宋"/>
          <w:lang w:val="en-US" w:eastAsia="zh-CN"/>
        </w:rPr>
        <w:drawing>
          <wp:inline distT="0" distB="0" distL="114300" distR="114300">
            <wp:extent cx="85090" cy="154940"/>
            <wp:effectExtent l="0" t="0" r="10160" b="16510"/>
            <wp:docPr id="21"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8"/>
                    <pic:cNvPicPr>
                      <a:picLocks noChangeAspect="1"/>
                    </pic:cNvPicPr>
                  </pic:nvPicPr>
                  <pic:blipFill>
                    <a:blip r:embed="rId5"/>
                    <a:stretch>
                      <a:fillRect/>
                    </a:stretch>
                  </pic:blipFill>
                  <pic:spPr>
                    <a:xfrm>
                      <a:off x="0" y="0"/>
                      <a:ext cx="85090" cy="154940"/>
                    </a:xfrm>
                    <a:prstGeom prst="rect">
                      <a:avLst/>
                    </a:prstGeom>
                    <a:noFill/>
                    <a:ln>
                      <a:noFill/>
                    </a:ln>
                  </pic:spPr>
                </pic:pic>
              </a:graphicData>
            </a:graphic>
          </wp:inline>
        </w:drawing>
      </w:r>
      <w:r>
        <w:rPr>
          <w:rFonts w:hint="eastAsia" w:ascii="仿宋" w:hAnsi="仿宋" w:eastAsia="仿宋" w:cs="仿宋"/>
          <w:lang w:val="en-US" w:eastAsia="zh-CN"/>
        </w:rPr>
        <w:t>。其中：</w:t>
      </w:r>
    </w:p>
    <w:p>
      <w:pPr>
        <w:keepNext w:val="0"/>
        <w:keepLines w:val="0"/>
        <w:pageBreakBefore w:val="0"/>
        <w:widowControl/>
        <w:numPr>
          <w:ilvl w:val="0"/>
          <w:numId w:val="0"/>
        </w:numPr>
        <w:kinsoku/>
        <w:wordWrap/>
        <w:overflowPunct/>
        <w:topLinePunct w:val="0"/>
        <w:autoSpaceDN/>
        <w:bidi w:val="0"/>
        <w:adjustRightInd w:val="0"/>
        <w:snapToGrid w:val="0"/>
        <w:spacing w:line="36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lang w:eastAsia="zh-CN"/>
        </w:rPr>
        <w:t>社会保障和就业支出</w:t>
      </w:r>
      <w:r>
        <w:rPr>
          <w:rFonts w:hint="eastAsia" w:ascii="仿宋" w:hAnsi="仿宋" w:eastAsia="仿宋" w:cs="仿宋"/>
          <w:b/>
          <w:bCs/>
          <w:sz w:val="32"/>
          <w:szCs w:val="32"/>
        </w:rPr>
        <w:t>（类）行政事业单位离退休（款）</w:t>
      </w:r>
      <w:r>
        <w:rPr>
          <w:rFonts w:hint="eastAsia" w:ascii="仿宋" w:hAnsi="仿宋" w:eastAsia="仿宋" w:cs="仿宋"/>
          <w:b/>
          <w:bCs/>
          <w:sz w:val="32"/>
          <w:szCs w:val="32"/>
          <w:lang w:eastAsia="zh-CN"/>
        </w:rPr>
        <w:t xml:space="preserve"> 其他行政事业单位离退休支出</w:t>
      </w:r>
      <w:r>
        <w:rPr>
          <w:rFonts w:hint="eastAsia" w:ascii="仿宋" w:hAnsi="仿宋" w:eastAsia="仿宋" w:cs="仿宋"/>
          <w:b/>
          <w:bCs/>
          <w:sz w:val="32"/>
          <w:szCs w:val="32"/>
        </w:rPr>
        <w:t>（项）</w:t>
      </w:r>
      <w:r>
        <w:rPr>
          <w:rFonts w:hint="eastAsia" w:ascii="仿宋" w:hAnsi="仿宋" w:eastAsia="仿宋" w:cs="仿宋"/>
          <w:b/>
          <w:bCs/>
          <w:sz w:val="32"/>
          <w:szCs w:val="32"/>
          <w:lang w:eastAsia="zh-CN"/>
        </w:rPr>
        <w:t>。</w:t>
      </w:r>
      <w:r>
        <w:rPr>
          <w:rFonts w:hint="eastAsia" w:ascii="仿宋" w:hAnsi="仿宋" w:eastAsia="仿宋" w:cs="仿宋"/>
          <w:b w:val="0"/>
          <w:bCs w:val="0"/>
          <w:sz w:val="32"/>
          <w:szCs w:val="32"/>
          <w:lang w:eastAsia="zh-CN"/>
        </w:rPr>
        <w:t>年初预算数为</w:t>
      </w:r>
      <w:r>
        <w:rPr>
          <w:rFonts w:hint="eastAsia" w:ascii="仿宋" w:hAnsi="仿宋" w:eastAsia="仿宋" w:cs="仿宋"/>
          <w:b w:val="0"/>
          <w:bCs w:val="0"/>
          <w:sz w:val="32"/>
          <w:szCs w:val="32"/>
          <w:lang w:val="en-US" w:eastAsia="zh-CN"/>
        </w:rPr>
        <w:t>21.01万元，支出决算数为21.01万元，完成年初预算的100%。</w:t>
      </w:r>
    </w:p>
    <w:p>
      <w:pPr>
        <w:keepNext w:val="0"/>
        <w:keepLines w:val="0"/>
        <w:pageBreakBefore w:val="0"/>
        <w:widowControl/>
        <w:numPr>
          <w:ilvl w:val="0"/>
          <w:numId w:val="0"/>
        </w:numPr>
        <w:kinsoku/>
        <w:wordWrap/>
        <w:overflowPunct/>
        <w:topLinePunct w:val="0"/>
        <w:autoSpaceDN/>
        <w:bidi w:val="0"/>
        <w:adjustRightInd w:val="0"/>
        <w:snapToGrid w:val="0"/>
        <w:spacing w:line="360" w:lineRule="auto"/>
        <w:ind w:firstLine="643"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2.卫生健康支出（类）行政事业单位医疗（款）行政 事业单位医疗（项）</w:t>
      </w:r>
      <w:r>
        <w:rPr>
          <w:rFonts w:hint="eastAsia" w:ascii="仿宋" w:hAnsi="仿宋" w:eastAsia="仿宋" w:cs="仿宋"/>
          <w:b/>
          <w:bCs/>
          <w:sz w:val="32"/>
          <w:szCs w:val="32"/>
          <w:lang w:eastAsia="zh-CN"/>
        </w:rPr>
        <w:t>。</w:t>
      </w:r>
      <w:r>
        <w:rPr>
          <w:rFonts w:hint="eastAsia" w:ascii="仿宋" w:hAnsi="仿宋" w:eastAsia="仿宋" w:cs="仿宋"/>
          <w:b w:val="0"/>
          <w:bCs w:val="0"/>
          <w:sz w:val="32"/>
          <w:szCs w:val="32"/>
          <w:lang w:eastAsia="zh-CN"/>
        </w:rPr>
        <w:t>年初预算数为</w:t>
      </w:r>
      <w:r>
        <w:rPr>
          <w:rFonts w:hint="eastAsia" w:ascii="仿宋" w:hAnsi="仿宋" w:eastAsia="仿宋" w:cs="仿宋"/>
          <w:b w:val="0"/>
          <w:bCs w:val="0"/>
          <w:sz w:val="32"/>
          <w:szCs w:val="32"/>
          <w:lang w:val="en-US" w:eastAsia="zh-CN"/>
        </w:rPr>
        <w:t>55.68万元，支出决算数为55.68万元，完成年初预算的100%。</w:t>
      </w:r>
    </w:p>
    <w:p>
      <w:pPr>
        <w:keepNext w:val="0"/>
        <w:keepLines w:val="0"/>
        <w:pageBreakBefore w:val="0"/>
        <w:widowControl/>
        <w:numPr>
          <w:ilvl w:val="0"/>
          <w:numId w:val="0"/>
        </w:numPr>
        <w:kinsoku/>
        <w:wordWrap/>
        <w:overflowPunct/>
        <w:topLinePunct w:val="0"/>
        <w:autoSpaceDN/>
        <w:bidi w:val="0"/>
        <w:adjustRightInd w:val="0"/>
        <w:snapToGrid w:val="0"/>
        <w:spacing w:line="360" w:lineRule="auto"/>
        <w:ind w:leftChars="200" w:firstLine="321" w:firstLineChars="1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3.自然资源海洋气象等支出（类）自然资源事务（款）行政运行（项）。</w:t>
      </w:r>
      <w:r>
        <w:rPr>
          <w:rFonts w:hint="eastAsia" w:ascii="仿宋" w:hAnsi="仿宋" w:eastAsia="仿宋" w:cs="仿宋"/>
          <w:sz w:val="32"/>
          <w:szCs w:val="32"/>
        </w:rPr>
        <w:t>年初预算为</w:t>
      </w:r>
      <w:r>
        <w:rPr>
          <w:rFonts w:hint="eastAsia" w:ascii="仿宋" w:hAnsi="仿宋" w:eastAsia="仿宋" w:cs="仿宋"/>
          <w:sz w:val="32"/>
          <w:szCs w:val="32"/>
          <w:lang w:val="en-US" w:eastAsia="zh-CN"/>
        </w:rPr>
        <w:t>63</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63</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100</w:t>
      </w:r>
      <w:r>
        <w:rPr>
          <w:rFonts w:hint="eastAsia" w:ascii="仿宋" w:hAnsi="仿宋" w:eastAsia="仿宋" w:cs="仿宋"/>
          <w:sz w:val="32"/>
          <w:szCs w:val="32"/>
        </w:rPr>
        <w:t>%。</w:t>
      </w:r>
    </w:p>
    <w:p>
      <w:pPr>
        <w:keepNext w:val="0"/>
        <w:keepLines w:val="0"/>
        <w:pageBreakBefore w:val="0"/>
        <w:widowControl/>
        <w:numPr>
          <w:ilvl w:val="0"/>
          <w:numId w:val="0"/>
        </w:numPr>
        <w:kinsoku/>
        <w:wordWrap/>
        <w:overflowPunct/>
        <w:topLinePunct w:val="0"/>
        <w:autoSpaceDN/>
        <w:bidi w:val="0"/>
        <w:adjustRightInd w:val="0"/>
        <w:snapToGrid w:val="0"/>
        <w:spacing w:line="360" w:lineRule="auto"/>
        <w:ind w:leftChars="200" w:firstLine="321" w:firstLineChars="100"/>
        <w:textAlignment w:val="auto"/>
        <w:rPr>
          <w:rFonts w:hint="eastAsia" w:ascii="仿宋" w:hAnsi="仿宋" w:eastAsia="仿宋" w:cs="仿宋"/>
          <w:b/>
          <w:bCs/>
          <w:color w:val="auto"/>
          <w:sz w:val="32"/>
          <w:szCs w:val="32"/>
        </w:rPr>
      </w:pPr>
      <w:r>
        <w:rPr>
          <w:rFonts w:hint="eastAsia" w:ascii="仿宋" w:hAnsi="仿宋" w:eastAsia="仿宋" w:cs="仿宋"/>
          <w:b/>
          <w:bCs/>
          <w:sz w:val="32"/>
          <w:szCs w:val="32"/>
          <w:lang w:val="en-US" w:eastAsia="zh-CN"/>
        </w:rPr>
        <w:t>4.自然资源</w:t>
      </w:r>
      <w:r>
        <w:rPr>
          <w:rFonts w:hint="eastAsia" w:ascii="仿宋" w:hAnsi="仿宋" w:eastAsia="仿宋" w:cs="仿宋"/>
          <w:b/>
          <w:bCs/>
          <w:sz w:val="32"/>
          <w:szCs w:val="32"/>
          <w:lang w:eastAsia="zh-CN"/>
        </w:rPr>
        <w:t>海洋气</w:t>
      </w:r>
      <w:r>
        <w:rPr>
          <w:rFonts w:hint="eastAsia" w:ascii="仿宋" w:hAnsi="仿宋" w:eastAsia="仿宋" w:cs="仿宋"/>
          <w:b/>
          <w:bCs/>
          <w:color w:val="auto"/>
          <w:sz w:val="32"/>
          <w:szCs w:val="32"/>
          <w:lang w:eastAsia="zh-CN"/>
        </w:rPr>
        <w:t>象等支出</w:t>
      </w:r>
      <w:r>
        <w:rPr>
          <w:rFonts w:hint="eastAsia" w:ascii="仿宋" w:hAnsi="仿宋" w:eastAsia="仿宋" w:cs="仿宋"/>
          <w:b/>
          <w:bCs/>
          <w:color w:val="auto"/>
          <w:sz w:val="32"/>
          <w:szCs w:val="32"/>
        </w:rPr>
        <w:t>（类）</w:t>
      </w:r>
      <w:r>
        <w:rPr>
          <w:rFonts w:hint="eastAsia" w:ascii="仿宋" w:hAnsi="仿宋" w:eastAsia="仿宋" w:cs="仿宋"/>
          <w:b/>
          <w:bCs/>
          <w:color w:val="auto"/>
          <w:sz w:val="32"/>
          <w:szCs w:val="32"/>
          <w:lang w:val="en-US" w:eastAsia="zh-CN"/>
        </w:rPr>
        <w:t>自然</w:t>
      </w:r>
      <w:r>
        <w:rPr>
          <w:rFonts w:hint="eastAsia" w:ascii="仿宋" w:hAnsi="仿宋" w:eastAsia="仿宋" w:cs="仿宋"/>
          <w:b/>
          <w:bCs/>
          <w:color w:val="auto"/>
          <w:sz w:val="32"/>
          <w:szCs w:val="32"/>
          <w:lang w:eastAsia="zh-CN"/>
        </w:rPr>
        <w:t>资源事务</w:t>
      </w:r>
      <w:r>
        <w:rPr>
          <w:rFonts w:hint="eastAsia" w:ascii="仿宋" w:hAnsi="仿宋" w:eastAsia="仿宋" w:cs="仿宋"/>
          <w:b/>
          <w:bCs/>
          <w:color w:val="auto"/>
          <w:sz w:val="32"/>
          <w:szCs w:val="32"/>
        </w:rPr>
        <w:t>（款）</w:t>
      </w:r>
      <w:r>
        <w:rPr>
          <w:rFonts w:hint="eastAsia" w:ascii="仿宋" w:hAnsi="仿宋" w:eastAsia="仿宋" w:cs="仿宋"/>
          <w:b/>
          <w:bCs/>
          <w:color w:val="auto"/>
          <w:sz w:val="32"/>
          <w:szCs w:val="32"/>
          <w:lang w:val="en-US" w:eastAsia="zh-CN"/>
        </w:rPr>
        <w:t>自然</w:t>
      </w:r>
      <w:r>
        <w:rPr>
          <w:rFonts w:hint="eastAsia" w:ascii="仿宋" w:hAnsi="仿宋" w:eastAsia="仿宋" w:cs="仿宋"/>
          <w:b/>
          <w:bCs/>
          <w:color w:val="auto"/>
          <w:sz w:val="32"/>
          <w:szCs w:val="32"/>
          <w:lang w:eastAsia="zh-CN"/>
        </w:rPr>
        <w:t>资源</w:t>
      </w:r>
      <w:r>
        <w:rPr>
          <w:rFonts w:hint="eastAsia" w:ascii="仿宋" w:hAnsi="仿宋" w:eastAsia="仿宋" w:cs="仿宋"/>
          <w:b/>
          <w:bCs/>
          <w:color w:val="auto"/>
          <w:sz w:val="32"/>
          <w:szCs w:val="32"/>
          <w:lang w:val="en-US" w:eastAsia="zh-CN"/>
        </w:rPr>
        <w:t>规划及</w:t>
      </w:r>
      <w:r>
        <w:rPr>
          <w:rFonts w:hint="eastAsia" w:ascii="仿宋" w:hAnsi="仿宋" w:eastAsia="仿宋" w:cs="仿宋"/>
          <w:b/>
          <w:bCs/>
          <w:color w:val="auto"/>
          <w:sz w:val="32"/>
          <w:szCs w:val="32"/>
          <w:lang w:eastAsia="zh-CN"/>
        </w:rPr>
        <w:t>管理</w:t>
      </w:r>
      <w:r>
        <w:rPr>
          <w:rFonts w:hint="eastAsia" w:ascii="仿宋" w:hAnsi="仿宋" w:eastAsia="仿宋" w:cs="仿宋"/>
          <w:b/>
          <w:bCs/>
          <w:color w:val="auto"/>
          <w:sz w:val="32"/>
          <w:szCs w:val="32"/>
        </w:rPr>
        <w:t>（项）</w:t>
      </w:r>
      <w:r>
        <w:rPr>
          <w:rFonts w:hint="eastAsia" w:ascii="仿宋" w:hAnsi="仿宋" w:eastAsia="仿宋" w:cs="仿宋"/>
          <w:b/>
          <w:bCs/>
          <w:color w:val="auto"/>
          <w:sz w:val="32"/>
          <w:szCs w:val="32"/>
          <w:lang w:eastAsia="zh-CN"/>
        </w:rPr>
        <w:t>。</w:t>
      </w:r>
      <w:r>
        <w:rPr>
          <w:rFonts w:hint="eastAsia" w:ascii="仿宋" w:hAnsi="仿宋" w:eastAsia="仿宋" w:cs="仿宋"/>
          <w:b w:val="0"/>
          <w:bCs w:val="0"/>
          <w:color w:val="auto"/>
          <w:sz w:val="32"/>
          <w:szCs w:val="32"/>
          <w:lang w:eastAsia="zh-CN"/>
        </w:rPr>
        <w:t>年初预算数为</w:t>
      </w:r>
      <w:r>
        <w:rPr>
          <w:rFonts w:hint="eastAsia" w:ascii="仿宋" w:hAnsi="仿宋" w:eastAsia="仿宋" w:cs="仿宋"/>
          <w:b w:val="0"/>
          <w:bCs w:val="0"/>
          <w:color w:val="auto"/>
          <w:sz w:val="32"/>
          <w:szCs w:val="32"/>
          <w:lang w:val="en-US" w:eastAsia="zh-CN"/>
        </w:rPr>
        <w:t>60万元，支出决算数为60万元，</w:t>
      </w:r>
      <w:r>
        <w:rPr>
          <w:rFonts w:hint="eastAsia" w:ascii="仿宋" w:hAnsi="仿宋" w:eastAsia="仿宋" w:cs="仿宋"/>
          <w:color w:val="auto"/>
          <w:sz w:val="32"/>
          <w:szCs w:val="32"/>
          <w:lang w:eastAsia="zh-CN"/>
        </w:rPr>
        <w:t>完成年初预算的</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w:t>
      </w:r>
    </w:p>
    <w:p>
      <w:pPr>
        <w:keepNext w:val="0"/>
        <w:keepLines w:val="0"/>
        <w:pageBreakBefore w:val="0"/>
        <w:widowControl/>
        <w:numPr>
          <w:ilvl w:val="0"/>
          <w:numId w:val="0"/>
        </w:numPr>
        <w:kinsoku/>
        <w:wordWrap/>
        <w:overflowPunct/>
        <w:topLinePunct w:val="0"/>
        <w:autoSpaceDN/>
        <w:bidi w:val="0"/>
        <w:adjustRightInd w:val="0"/>
        <w:snapToGrid w:val="0"/>
        <w:spacing w:line="360" w:lineRule="auto"/>
        <w:ind w:firstLine="643"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5.自然资源</w:t>
      </w:r>
      <w:r>
        <w:rPr>
          <w:rFonts w:hint="eastAsia" w:ascii="仿宋" w:hAnsi="仿宋" w:eastAsia="仿宋" w:cs="仿宋"/>
          <w:b/>
          <w:bCs/>
          <w:sz w:val="32"/>
          <w:szCs w:val="32"/>
          <w:lang w:eastAsia="zh-CN"/>
        </w:rPr>
        <w:t>海洋气象等支出</w:t>
      </w:r>
      <w:r>
        <w:rPr>
          <w:rFonts w:hint="eastAsia" w:ascii="仿宋" w:hAnsi="仿宋" w:eastAsia="仿宋" w:cs="仿宋"/>
          <w:b/>
          <w:bCs/>
          <w:sz w:val="32"/>
          <w:szCs w:val="32"/>
        </w:rPr>
        <w:t>（类）</w:t>
      </w:r>
      <w:r>
        <w:rPr>
          <w:rFonts w:hint="eastAsia" w:ascii="仿宋" w:hAnsi="仿宋" w:eastAsia="仿宋" w:cs="仿宋"/>
          <w:b/>
          <w:bCs/>
          <w:sz w:val="32"/>
          <w:szCs w:val="32"/>
          <w:lang w:val="en-US" w:eastAsia="zh-CN"/>
        </w:rPr>
        <w:t>自然</w:t>
      </w:r>
      <w:r>
        <w:rPr>
          <w:rFonts w:hint="eastAsia" w:ascii="仿宋" w:hAnsi="仿宋" w:eastAsia="仿宋" w:cs="仿宋"/>
          <w:b/>
          <w:bCs/>
          <w:sz w:val="32"/>
          <w:szCs w:val="32"/>
          <w:lang w:eastAsia="zh-CN"/>
        </w:rPr>
        <w:t>资源事务</w:t>
      </w:r>
      <w:r>
        <w:rPr>
          <w:rFonts w:hint="eastAsia" w:ascii="仿宋" w:hAnsi="仿宋" w:eastAsia="仿宋" w:cs="仿宋"/>
          <w:b/>
          <w:bCs/>
          <w:sz w:val="32"/>
          <w:szCs w:val="32"/>
        </w:rPr>
        <w:t>（款）</w:t>
      </w:r>
      <w:r>
        <w:rPr>
          <w:rFonts w:hint="eastAsia" w:ascii="仿宋" w:hAnsi="仿宋" w:eastAsia="仿宋" w:cs="仿宋"/>
          <w:b/>
          <w:bCs/>
          <w:sz w:val="32"/>
          <w:szCs w:val="32"/>
          <w:lang w:val="en-US" w:eastAsia="zh-CN"/>
        </w:rPr>
        <w:t>土地资源利用与保护</w:t>
      </w:r>
      <w:r>
        <w:rPr>
          <w:rFonts w:hint="eastAsia" w:ascii="仿宋" w:hAnsi="仿宋" w:eastAsia="仿宋" w:cs="仿宋"/>
          <w:b/>
          <w:bCs/>
          <w:sz w:val="32"/>
          <w:szCs w:val="32"/>
        </w:rPr>
        <w:t>（项）</w:t>
      </w:r>
      <w:r>
        <w:rPr>
          <w:rFonts w:hint="eastAsia" w:ascii="仿宋" w:hAnsi="仿宋" w:eastAsia="仿宋" w:cs="仿宋"/>
          <w:b/>
          <w:bCs/>
          <w:sz w:val="32"/>
          <w:szCs w:val="32"/>
          <w:lang w:eastAsia="zh-CN"/>
        </w:rPr>
        <w:t>。</w:t>
      </w:r>
      <w:r>
        <w:rPr>
          <w:rFonts w:hint="eastAsia" w:ascii="仿宋" w:hAnsi="仿宋" w:eastAsia="仿宋" w:cs="仿宋"/>
          <w:b w:val="0"/>
          <w:bCs w:val="0"/>
          <w:sz w:val="32"/>
          <w:szCs w:val="32"/>
          <w:lang w:eastAsia="zh-CN"/>
        </w:rPr>
        <w:t>年初预算数为</w:t>
      </w:r>
      <w:r>
        <w:rPr>
          <w:rFonts w:hint="eastAsia" w:ascii="仿宋" w:hAnsi="仿宋" w:eastAsia="仿宋" w:cs="仿宋"/>
          <w:b w:val="0"/>
          <w:bCs w:val="0"/>
          <w:sz w:val="32"/>
          <w:szCs w:val="32"/>
          <w:lang w:val="en-US" w:eastAsia="zh-CN"/>
        </w:rPr>
        <w:t>181万元，支出决算数为181万元，完成年初预算的100%。</w:t>
      </w:r>
    </w:p>
    <w:p>
      <w:pPr>
        <w:keepNext w:val="0"/>
        <w:keepLines w:val="0"/>
        <w:pageBreakBefore w:val="0"/>
        <w:widowControl/>
        <w:numPr>
          <w:ilvl w:val="0"/>
          <w:numId w:val="0"/>
        </w:numPr>
        <w:kinsoku/>
        <w:wordWrap/>
        <w:overflowPunct/>
        <w:topLinePunct w:val="0"/>
        <w:autoSpaceDN/>
        <w:bidi w:val="0"/>
        <w:adjustRightInd w:val="0"/>
        <w:snapToGrid w:val="0"/>
        <w:spacing w:line="360" w:lineRule="auto"/>
        <w:ind w:firstLine="643"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6</w:t>
      </w:r>
      <w:r>
        <w:rPr>
          <w:rFonts w:hint="eastAsia" w:ascii="仿宋" w:hAnsi="仿宋" w:eastAsia="仿宋" w:cs="仿宋"/>
          <w:b w:val="0"/>
          <w:bCs w:val="0"/>
          <w:sz w:val="32"/>
          <w:szCs w:val="32"/>
          <w:lang w:val="en-US" w:eastAsia="zh-CN"/>
        </w:rPr>
        <w:t>.</w:t>
      </w:r>
      <w:r>
        <w:rPr>
          <w:rFonts w:hint="eastAsia" w:ascii="仿宋" w:hAnsi="仿宋" w:eastAsia="仿宋" w:cs="仿宋"/>
          <w:b/>
          <w:bCs/>
          <w:sz w:val="32"/>
          <w:szCs w:val="32"/>
          <w:lang w:val="en-US" w:eastAsia="zh-CN"/>
        </w:rPr>
        <w:t>自然资源</w:t>
      </w:r>
      <w:r>
        <w:rPr>
          <w:rFonts w:hint="eastAsia" w:ascii="仿宋" w:hAnsi="仿宋" w:eastAsia="仿宋" w:cs="仿宋"/>
          <w:b/>
          <w:bCs/>
          <w:sz w:val="32"/>
          <w:szCs w:val="32"/>
          <w:lang w:eastAsia="zh-CN"/>
        </w:rPr>
        <w:t>海洋气象等支出</w:t>
      </w:r>
      <w:r>
        <w:rPr>
          <w:rFonts w:hint="eastAsia" w:ascii="仿宋" w:hAnsi="仿宋" w:eastAsia="仿宋" w:cs="仿宋"/>
          <w:b/>
          <w:bCs/>
          <w:sz w:val="32"/>
          <w:szCs w:val="32"/>
        </w:rPr>
        <w:t>（类）</w:t>
      </w:r>
      <w:r>
        <w:rPr>
          <w:rFonts w:hint="eastAsia" w:ascii="仿宋" w:hAnsi="仿宋" w:eastAsia="仿宋" w:cs="仿宋"/>
          <w:b/>
          <w:bCs/>
          <w:sz w:val="32"/>
          <w:szCs w:val="32"/>
          <w:lang w:val="en-US" w:eastAsia="zh-CN"/>
        </w:rPr>
        <w:t>自然</w:t>
      </w:r>
      <w:r>
        <w:rPr>
          <w:rFonts w:hint="eastAsia" w:ascii="仿宋" w:hAnsi="仿宋" w:eastAsia="仿宋" w:cs="仿宋"/>
          <w:b/>
          <w:bCs/>
          <w:sz w:val="32"/>
          <w:szCs w:val="32"/>
          <w:lang w:eastAsia="zh-CN"/>
        </w:rPr>
        <w:t>资源事务</w:t>
      </w:r>
      <w:r>
        <w:rPr>
          <w:rFonts w:hint="eastAsia" w:ascii="仿宋" w:hAnsi="仿宋" w:eastAsia="仿宋" w:cs="仿宋"/>
          <w:b/>
          <w:bCs/>
          <w:sz w:val="32"/>
          <w:szCs w:val="32"/>
        </w:rPr>
        <w:t>（款）</w:t>
      </w:r>
      <w:r>
        <w:rPr>
          <w:rFonts w:hint="eastAsia" w:ascii="仿宋" w:hAnsi="仿宋" w:eastAsia="仿宋" w:cs="仿宋"/>
          <w:b/>
          <w:bCs/>
          <w:sz w:val="32"/>
          <w:szCs w:val="32"/>
          <w:lang w:val="en-US" w:eastAsia="zh-CN"/>
        </w:rPr>
        <w:t>自然资源行业业务管理（项）。</w:t>
      </w:r>
      <w:r>
        <w:rPr>
          <w:rFonts w:hint="eastAsia" w:ascii="仿宋" w:hAnsi="仿宋" w:eastAsia="仿宋" w:cs="仿宋"/>
          <w:b w:val="0"/>
          <w:bCs w:val="0"/>
          <w:sz w:val="32"/>
          <w:szCs w:val="32"/>
          <w:lang w:eastAsia="zh-CN"/>
        </w:rPr>
        <w:t>年初预算数为</w:t>
      </w:r>
      <w:r>
        <w:rPr>
          <w:rFonts w:hint="eastAsia" w:ascii="仿宋" w:hAnsi="仿宋" w:eastAsia="仿宋" w:cs="仿宋"/>
          <w:b w:val="0"/>
          <w:bCs w:val="0"/>
          <w:sz w:val="32"/>
          <w:szCs w:val="32"/>
          <w:lang w:val="en-US" w:eastAsia="zh-CN"/>
        </w:rPr>
        <w:t>147万元，支出决算数为147万元，完成年初预算的100%。</w:t>
      </w:r>
    </w:p>
    <w:p>
      <w:pPr>
        <w:keepNext w:val="0"/>
        <w:keepLines w:val="0"/>
        <w:pageBreakBefore w:val="0"/>
        <w:widowControl/>
        <w:numPr>
          <w:ilvl w:val="0"/>
          <w:numId w:val="0"/>
        </w:numPr>
        <w:kinsoku/>
        <w:wordWrap/>
        <w:overflowPunct/>
        <w:topLinePunct w:val="0"/>
        <w:autoSpaceDN/>
        <w:bidi w:val="0"/>
        <w:adjustRightInd w:val="0"/>
        <w:snapToGrid w:val="0"/>
        <w:spacing w:line="360" w:lineRule="auto"/>
        <w:ind w:firstLine="643"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7.自然资源</w:t>
      </w:r>
      <w:r>
        <w:rPr>
          <w:rFonts w:hint="eastAsia" w:ascii="仿宋" w:hAnsi="仿宋" w:eastAsia="仿宋" w:cs="仿宋"/>
          <w:b/>
          <w:bCs/>
          <w:sz w:val="32"/>
          <w:szCs w:val="32"/>
          <w:lang w:eastAsia="zh-CN"/>
        </w:rPr>
        <w:t>海洋气象等</w:t>
      </w:r>
      <w:r>
        <w:rPr>
          <w:rFonts w:hint="eastAsia" w:ascii="仿宋" w:hAnsi="仿宋" w:eastAsia="仿宋" w:cs="仿宋"/>
          <w:b/>
          <w:bCs/>
          <w:sz w:val="32"/>
          <w:szCs w:val="32"/>
        </w:rPr>
        <w:t>（类）</w:t>
      </w:r>
      <w:r>
        <w:rPr>
          <w:rFonts w:hint="eastAsia" w:ascii="仿宋" w:hAnsi="仿宋" w:eastAsia="仿宋" w:cs="仿宋"/>
          <w:b/>
          <w:bCs/>
          <w:sz w:val="32"/>
          <w:szCs w:val="32"/>
          <w:lang w:val="en-US" w:eastAsia="zh-CN"/>
        </w:rPr>
        <w:t>自然</w:t>
      </w:r>
      <w:r>
        <w:rPr>
          <w:rFonts w:hint="eastAsia" w:ascii="仿宋" w:hAnsi="仿宋" w:eastAsia="仿宋" w:cs="仿宋"/>
          <w:b/>
          <w:bCs/>
          <w:sz w:val="32"/>
          <w:szCs w:val="32"/>
          <w:lang w:eastAsia="zh-CN"/>
        </w:rPr>
        <w:t>资源事务</w:t>
      </w:r>
      <w:r>
        <w:rPr>
          <w:rFonts w:hint="eastAsia" w:ascii="仿宋" w:hAnsi="仿宋" w:eastAsia="仿宋" w:cs="仿宋"/>
          <w:b/>
          <w:bCs/>
          <w:sz w:val="32"/>
          <w:szCs w:val="32"/>
        </w:rPr>
        <w:t>（款）</w:t>
      </w:r>
      <w:r>
        <w:rPr>
          <w:rFonts w:hint="eastAsia" w:ascii="仿宋" w:hAnsi="仿宋" w:eastAsia="仿宋" w:cs="仿宋"/>
          <w:b/>
          <w:bCs/>
          <w:sz w:val="32"/>
          <w:szCs w:val="32"/>
          <w:lang w:eastAsia="zh-CN"/>
        </w:rPr>
        <w:t>事业运行</w:t>
      </w:r>
      <w:r>
        <w:rPr>
          <w:rFonts w:hint="eastAsia" w:ascii="仿宋" w:hAnsi="仿宋" w:eastAsia="仿宋" w:cs="仿宋"/>
          <w:b/>
          <w:bCs/>
          <w:sz w:val="32"/>
          <w:szCs w:val="32"/>
        </w:rPr>
        <w:t>（项）</w:t>
      </w:r>
      <w:r>
        <w:rPr>
          <w:rFonts w:hint="eastAsia" w:ascii="仿宋" w:hAnsi="仿宋" w:eastAsia="仿宋" w:cs="仿宋"/>
          <w:b/>
          <w:bCs/>
          <w:sz w:val="32"/>
          <w:szCs w:val="32"/>
          <w:lang w:eastAsia="zh-CN"/>
        </w:rPr>
        <w:t>。</w:t>
      </w:r>
      <w:r>
        <w:rPr>
          <w:rFonts w:hint="eastAsia" w:ascii="仿宋" w:hAnsi="仿宋" w:eastAsia="仿宋" w:cs="仿宋"/>
          <w:b w:val="0"/>
          <w:bCs w:val="0"/>
          <w:sz w:val="32"/>
          <w:szCs w:val="32"/>
          <w:lang w:eastAsia="zh-CN"/>
        </w:rPr>
        <w:t>年初预算数为</w:t>
      </w:r>
      <w:r>
        <w:rPr>
          <w:rFonts w:hint="eastAsia" w:ascii="仿宋" w:hAnsi="仿宋" w:eastAsia="仿宋" w:cs="仿宋"/>
          <w:b w:val="0"/>
          <w:bCs w:val="0"/>
          <w:sz w:val="32"/>
          <w:szCs w:val="32"/>
          <w:lang w:val="en-US" w:eastAsia="zh-CN"/>
        </w:rPr>
        <w:t>1845万元，支出决算数为1845万元，完成年初预算的116%。</w:t>
      </w:r>
    </w:p>
    <w:p>
      <w:pPr>
        <w:keepNext w:val="0"/>
        <w:keepLines w:val="0"/>
        <w:pageBreakBefore w:val="0"/>
        <w:widowControl/>
        <w:numPr>
          <w:ilvl w:val="0"/>
          <w:numId w:val="0"/>
        </w:numPr>
        <w:kinsoku/>
        <w:wordWrap/>
        <w:overflowPunct/>
        <w:topLinePunct w:val="0"/>
        <w:autoSpaceDN/>
        <w:bidi w:val="0"/>
        <w:adjustRightInd w:val="0"/>
        <w:snapToGrid w:val="0"/>
        <w:spacing w:line="360" w:lineRule="auto"/>
        <w:ind w:firstLine="643"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8.自然资源</w:t>
      </w:r>
      <w:r>
        <w:rPr>
          <w:rFonts w:hint="eastAsia" w:ascii="仿宋" w:hAnsi="仿宋" w:eastAsia="仿宋" w:cs="仿宋"/>
          <w:b/>
          <w:bCs/>
          <w:sz w:val="32"/>
          <w:szCs w:val="32"/>
          <w:lang w:eastAsia="zh-CN"/>
        </w:rPr>
        <w:t>海洋气象等</w:t>
      </w:r>
      <w:r>
        <w:rPr>
          <w:rFonts w:hint="eastAsia" w:ascii="仿宋" w:hAnsi="仿宋" w:eastAsia="仿宋" w:cs="仿宋"/>
          <w:b/>
          <w:bCs/>
          <w:sz w:val="32"/>
          <w:szCs w:val="32"/>
        </w:rPr>
        <w:t>（类）</w:t>
      </w:r>
      <w:r>
        <w:rPr>
          <w:rFonts w:hint="eastAsia" w:ascii="仿宋" w:hAnsi="仿宋" w:eastAsia="仿宋" w:cs="仿宋"/>
          <w:b/>
          <w:bCs/>
          <w:sz w:val="32"/>
          <w:szCs w:val="32"/>
          <w:lang w:val="en-US" w:eastAsia="zh-CN"/>
        </w:rPr>
        <w:t>自然</w:t>
      </w:r>
      <w:r>
        <w:rPr>
          <w:rFonts w:hint="eastAsia" w:ascii="仿宋" w:hAnsi="仿宋" w:eastAsia="仿宋" w:cs="仿宋"/>
          <w:b/>
          <w:bCs/>
          <w:sz w:val="32"/>
          <w:szCs w:val="32"/>
          <w:lang w:eastAsia="zh-CN"/>
        </w:rPr>
        <w:t>资源事务</w:t>
      </w:r>
      <w:r>
        <w:rPr>
          <w:rFonts w:hint="eastAsia" w:ascii="仿宋" w:hAnsi="仿宋" w:eastAsia="仿宋" w:cs="仿宋"/>
          <w:b/>
          <w:bCs/>
          <w:sz w:val="32"/>
          <w:szCs w:val="32"/>
        </w:rPr>
        <w:t>（款）</w:t>
      </w:r>
      <w:r>
        <w:rPr>
          <w:rFonts w:hint="eastAsia" w:ascii="仿宋" w:hAnsi="仿宋" w:eastAsia="仿宋" w:cs="仿宋"/>
          <w:b/>
          <w:bCs/>
          <w:sz w:val="32"/>
          <w:szCs w:val="32"/>
          <w:lang w:val="en-US" w:eastAsia="zh-CN"/>
        </w:rPr>
        <w:t>自然资源调查</w:t>
      </w:r>
      <w:r>
        <w:rPr>
          <w:rFonts w:hint="eastAsia" w:ascii="仿宋" w:hAnsi="仿宋" w:eastAsia="仿宋" w:cs="仿宋"/>
          <w:b/>
          <w:bCs/>
          <w:sz w:val="32"/>
          <w:szCs w:val="32"/>
        </w:rPr>
        <w:t>（项）</w:t>
      </w:r>
      <w:r>
        <w:rPr>
          <w:rFonts w:hint="eastAsia" w:ascii="仿宋" w:hAnsi="仿宋" w:eastAsia="仿宋" w:cs="仿宋"/>
          <w:b/>
          <w:bCs/>
          <w:sz w:val="32"/>
          <w:szCs w:val="32"/>
          <w:lang w:eastAsia="zh-CN"/>
        </w:rPr>
        <w:t>。</w:t>
      </w:r>
      <w:r>
        <w:rPr>
          <w:rFonts w:hint="eastAsia" w:ascii="仿宋" w:hAnsi="仿宋" w:eastAsia="仿宋" w:cs="仿宋"/>
          <w:b w:val="0"/>
          <w:bCs w:val="0"/>
          <w:sz w:val="32"/>
          <w:szCs w:val="32"/>
          <w:lang w:eastAsia="zh-CN"/>
        </w:rPr>
        <w:t>年初预算数为</w:t>
      </w:r>
      <w:r>
        <w:rPr>
          <w:rFonts w:hint="eastAsia" w:ascii="仿宋" w:hAnsi="仿宋" w:eastAsia="仿宋" w:cs="仿宋"/>
          <w:b w:val="0"/>
          <w:bCs w:val="0"/>
          <w:sz w:val="32"/>
          <w:szCs w:val="32"/>
          <w:lang w:val="en-US" w:eastAsia="zh-CN"/>
        </w:rPr>
        <w:t>50万元，支出决算数为30万元，完成年初预算的60%，自然资源调查事务减少。</w:t>
      </w:r>
    </w:p>
    <w:p>
      <w:pPr>
        <w:keepNext w:val="0"/>
        <w:keepLines w:val="0"/>
        <w:pageBreakBefore w:val="0"/>
        <w:widowControl/>
        <w:numPr>
          <w:ilvl w:val="0"/>
          <w:numId w:val="0"/>
        </w:numPr>
        <w:kinsoku/>
        <w:wordWrap/>
        <w:overflowPunct/>
        <w:topLinePunct w:val="0"/>
        <w:autoSpaceDN/>
        <w:bidi w:val="0"/>
        <w:adjustRightInd w:val="0"/>
        <w:snapToGrid w:val="0"/>
        <w:spacing w:line="360" w:lineRule="auto"/>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9.</w:t>
      </w:r>
      <w:r>
        <w:rPr>
          <w:rFonts w:hint="eastAsia" w:ascii="仿宋" w:hAnsi="仿宋" w:eastAsia="仿宋" w:cs="仿宋"/>
          <w:b/>
          <w:bCs/>
          <w:sz w:val="32"/>
          <w:szCs w:val="32"/>
          <w:lang w:val="en-US" w:eastAsia="zh-CN"/>
        </w:rPr>
        <w:t>自然资源</w:t>
      </w:r>
      <w:r>
        <w:rPr>
          <w:rFonts w:hint="eastAsia" w:ascii="仿宋" w:hAnsi="仿宋" w:eastAsia="仿宋" w:cs="仿宋"/>
          <w:b/>
          <w:bCs/>
          <w:sz w:val="32"/>
          <w:szCs w:val="32"/>
          <w:lang w:eastAsia="zh-CN"/>
        </w:rPr>
        <w:t>海洋气象等</w:t>
      </w:r>
      <w:r>
        <w:rPr>
          <w:rFonts w:hint="eastAsia" w:ascii="仿宋" w:hAnsi="仿宋" w:eastAsia="仿宋" w:cs="仿宋"/>
          <w:b/>
          <w:bCs/>
          <w:sz w:val="32"/>
          <w:szCs w:val="32"/>
        </w:rPr>
        <w:t>（类）</w:t>
      </w:r>
      <w:r>
        <w:rPr>
          <w:rFonts w:hint="eastAsia" w:ascii="仿宋" w:hAnsi="仿宋" w:eastAsia="仿宋" w:cs="仿宋"/>
          <w:b/>
          <w:bCs/>
          <w:sz w:val="32"/>
          <w:szCs w:val="32"/>
          <w:lang w:val="en-US" w:eastAsia="zh-CN"/>
        </w:rPr>
        <w:t>自然</w:t>
      </w:r>
      <w:r>
        <w:rPr>
          <w:rFonts w:hint="eastAsia" w:ascii="仿宋" w:hAnsi="仿宋" w:eastAsia="仿宋" w:cs="仿宋"/>
          <w:b/>
          <w:bCs/>
          <w:sz w:val="32"/>
          <w:szCs w:val="32"/>
          <w:lang w:eastAsia="zh-CN"/>
        </w:rPr>
        <w:t>资源事务</w:t>
      </w:r>
      <w:r>
        <w:rPr>
          <w:rFonts w:hint="eastAsia" w:ascii="仿宋" w:hAnsi="仿宋" w:eastAsia="仿宋" w:cs="仿宋"/>
          <w:b/>
          <w:bCs/>
          <w:sz w:val="32"/>
          <w:szCs w:val="32"/>
        </w:rPr>
        <w:t>（款）</w:t>
      </w:r>
      <w:r>
        <w:rPr>
          <w:rFonts w:hint="eastAsia" w:ascii="仿宋" w:hAnsi="仿宋" w:eastAsia="仿宋" w:cs="仿宋"/>
          <w:b/>
          <w:bCs/>
          <w:sz w:val="32"/>
          <w:szCs w:val="32"/>
          <w:lang w:val="en-US" w:eastAsia="zh-CN"/>
        </w:rPr>
        <w:t>国土整治</w:t>
      </w:r>
      <w:r>
        <w:rPr>
          <w:rFonts w:hint="eastAsia" w:ascii="仿宋" w:hAnsi="仿宋" w:eastAsia="仿宋" w:cs="仿宋"/>
          <w:b/>
          <w:bCs/>
          <w:sz w:val="32"/>
          <w:szCs w:val="32"/>
        </w:rPr>
        <w:t>（项）</w:t>
      </w:r>
      <w:r>
        <w:rPr>
          <w:rFonts w:hint="eastAsia" w:ascii="仿宋" w:hAnsi="仿宋" w:eastAsia="仿宋" w:cs="仿宋"/>
          <w:b/>
          <w:bCs/>
          <w:sz w:val="32"/>
          <w:szCs w:val="32"/>
          <w:lang w:eastAsia="zh-CN"/>
        </w:rPr>
        <w:t>。</w:t>
      </w:r>
      <w:r>
        <w:rPr>
          <w:rFonts w:hint="eastAsia" w:ascii="仿宋" w:hAnsi="仿宋" w:eastAsia="仿宋" w:cs="仿宋"/>
          <w:b w:val="0"/>
          <w:bCs w:val="0"/>
          <w:sz w:val="32"/>
          <w:szCs w:val="32"/>
          <w:lang w:eastAsia="zh-CN"/>
        </w:rPr>
        <w:t>年初预算数为</w:t>
      </w:r>
      <w:r>
        <w:rPr>
          <w:rFonts w:hint="eastAsia" w:ascii="仿宋" w:hAnsi="仿宋" w:eastAsia="仿宋" w:cs="仿宋"/>
          <w:b w:val="0"/>
          <w:bCs w:val="0"/>
          <w:sz w:val="32"/>
          <w:szCs w:val="32"/>
          <w:lang w:val="en-US" w:eastAsia="zh-CN"/>
        </w:rPr>
        <w:t>205万元，支出决算数为205万元，完成年初预算的100%。</w:t>
      </w:r>
    </w:p>
    <w:p>
      <w:pPr>
        <w:keepNext w:val="0"/>
        <w:keepLines w:val="0"/>
        <w:pageBreakBefore w:val="0"/>
        <w:widowControl/>
        <w:numPr>
          <w:ilvl w:val="0"/>
          <w:numId w:val="0"/>
        </w:numPr>
        <w:kinsoku/>
        <w:wordWrap/>
        <w:overflowPunct/>
        <w:topLinePunct w:val="0"/>
        <w:autoSpaceDN/>
        <w:bidi w:val="0"/>
        <w:adjustRightInd w:val="0"/>
        <w:snapToGrid w:val="0"/>
        <w:spacing w:line="360" w:lineRule="auto"/>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10.</w:t>
      </w:r>
      <w:r>
        <w:rPr>
          <w:rFonts w:hint="eastAsia" w:ascii="仿宋" w:hAnsi="仿宋" w:eastAsia="仿宋" w:cs="仿宋"/>
          <w:b/>
          <w:bCs/>
          <w:sz w:val="32"/>
          <w:szCs w:val="32"/>
          <w:lang w:val="en-US" w:eastAsia="zh-CN"/>
        </w:rPr>
        <w:t>自然资源</w:t>
      </w:r>
      <w:r>
        <w:rPr>
          <w:rFonts w:hint="eastAsia" w:ascii="仿宋" w:hAnsi="仿宋" w:eastAsia="仿宋" w:cs="仿宋"/>
          <w:b/>
          <w:bCs/>
          <w:sz w:val="32"/>
          <w:szCs w:val="32"/>
          <w:lang w:eastAsia="zh-CN"/>
        </w:rPr>
        <w:t>海洋气象等</w:t>
      </w:r>
      <w:r>
        <w:rPr>
          <w:rFonts w:hint="eastAsia" w:ascii="仿宋" w:hAnsi="仿宋" w:eastAsia="仿宋" w:cs="仿宋"/>
          <w:b/>
          <w:bCs/>
          <w:sz w:val="32"/>
          <w:szCs w:val="32"/>
        </w:rPr>
        <w:t>（类）</w:t>
      </w:r>
      <w:r>
        <w:rPr>
          <w:rFonts w:hint="eastAsia" w:ascii="仿宋" w:hAnsi="仿宋" w:eastAsia="仿宋" w:cs="仿宋"/>
          <w:b/>
          <w:bCs/>
          <w:sz w:val="32"/>
          <w:szCs w:val="32"/>
          <w:lang w:val="en-US" w:eastAsia="zh-CN"/>
        </w:rPr>
        <w:t>自然</w:t>
      </w:r>
      <w:r>
        <w:rPr>
          <w:rFonts w:hint="eastAsia" w:ascii="仿宋" w:hAnsi="仿宋" w:eastAsia="仿宋" w:cs="仿宋"/>
          <w:b/>
          <w:bCs/>
          <w:sz w:val="32"/>
          <w:szCs w:val="32"/>
          <w:lang w:eastAsia="zh-CN"/>
        </w:rPr>
        <w:t>资源事务</w:t>
      </w:r>
      <w:r>
        <w:rPr>
          <w:rFonts w:hint="eastAsia" w:ascii="仿宋" w:hAnsi="仿宋" w:eastAsia="仿宋" w:cs="仿宋"/>
          <w:b/>
          <w:bCs/>
          <w:sz w:val="32"/>
          <w:szCs w:val="32"/>
        </w:rPr>
        <w:t>（款）</w:t>
      </w:r>
      <w:r>
        <w:rPr>
          <w:rFonts w:hint="eastAsia" w:ascii="仿宋" w:hAnsi="仿宋" w:eastAsia="仿宋" w:cs="仿宋"/>
          <w:b/>
          <w:bCs/>
          <w:sz w:val="32"/>
          <w:szCs w:val="32"/>
          <w:lang w:val="en-US" w:eastAsia="zh-CN"/>
        </w:rPr>
        <w:t>其他自然资源事务支出</w:t>
      </w:r>
      <w:r>
        <w:rPr>
          <w:rFonts w:hint="eastAsia" w:ascii="仿宋" w:hAnsi="仿宋" w:eastAsia="仿宋" w:cs="仿宋"/>
          <w:b/>
          <w:bCs/>
          <w:sz w:val="32"/>
          <w:szCs w:val="32"/>
        </w:rPr>
        <w:t>（项）</w:t>
      </w:r>
      <w:r>
        <w:rPr>
          <w:rFonts w:hint="eastAsia" w:ascii="仿宋" w:hAnsi="仿宋" w:eastAsia="仿宋" w:cs="仿宋"/>
          <w:b/>
          <w:bCs/>
          <w:sz w:val="32"/>
          <w:szCs w:val="32"/>
          <w:lang w:eastAsia="zh-CN"/>
        </w:rPr>
        <w:t>。</w:t>
      </w:r>
      <w:r>
        <w:rPr>
          <w:rFonts w:hint="eastAsia" w:ascii="仿宋" w:hAnsi="仿宋" w:eastAsia="仿宋" w:cs="仿宋"/>
          <w:b w:val="0"/>
          <w:bCs w:val="0"/>
          <w:sz w:val="32"/>
          <w:szCs w:val="32"/>
          <w:lang w:eastAsia="zh-CN"/>
        </w:rPr>
        <w:t>年初预算数为</w:t>
      </w:r>
      <w:r>
        <w:rPr>
          <w:rFonts w:hint="eastAsia" w:ascii="仿宋" w:hAnsi="仿宋" w:eastAsia="仿宋" w:cs="仿宋"/>
          <w:b w:val="0"/>
          <w:bCs w:val="0"/>
          <w:sz w:val="32"/>
          <w:szCs w:val="32"/>
          <w:lang w:val="en-US" w:eastAsia="zh-CN"/>
        </w:rPr>
        <w:t>80万元，支出决算数为80万元，完成年初预算的100%。</w:t>
      </w:r>
    </w:p>
    <w:p>
      <w:pPr>
        <w:pStyle w:val="3"/>
        <w:keepNext w:val="0"/>
        <w:keepLines w:val="0"/>
        <w:pageBreakBefore w:val="0"/>
        <w:widowControl/>
        <w:kinsoku/>
        <w:wordWrap/>
        <w:overflowPunct/>
        <w:topLinePunct w:val="0"/>
        <w:autoSpaceDN/>
        <w:bidi w:val="0"/>
        <w:spacing w:before="108"/>
        <w:ind w:firstLine="321" w:firstLineChars="100"/>
        <w:textAlignment w:val="auto"/>
        <w:rPr>
          <w:rFonts w:hint="eastAsia" w:ascii="仿宋" w:hAnsi="仿宋" w:eastAsia="仿宋" w:cs="仿宋"/>
          <w:b/>
          <w:bCs/>
        </w:rPr>
      </w:pPr>
      <w:bookmarkStart w:id="0" w:name="page19"/>
      <w:bookmarkEnd w:id="0"/>
      <w:r>
        <w:rPr>
          <w:rFonts w:hint="eastAsia" w:ascii="仿宋" w:hAnsi="仿宋" w:eastAsia="仿宋" w:cs="仿宋"/>
          <w:b/>
          <w:bCs/>
        </w:rPr>
        <w:t>六、一般公共预算财政拨款基本支出决算情况说明</w:t>
      </w:r>
    </w:p>
    <w:p>
      <w:pPr>
        <w:pStyle w:val="3"/>
        <w:keepNext w:val="0"/>
        <w:keepLines w:val="0"/>
        <w:pageBreakBefore w:val="0"/>
        <w:widowControl/>
        <w:kinsoku/>
        <w:wordWrap/>
        <w:overflowPunct/>
        <w:topLinePunct w:val="0"/>
        <w:autoSpaceDE/>
        <w:autoSpaceDN/>
        <w:bidi w:val="0"/>
        <w:adjustRightInd/>
        <w:snapToGrid/>
        <w:spacing w:before="214" w:line="360" w:lineRule="auto"/>
        <w:ind w:firstLine="640" w:firstLineChars="200"/>
        <w:textAlignment w:val="auto"/>
        <w:rPr>
          <w:rFonts w:hint="eastAsia" w:ascii="仿宋" w:hAnsi="仿宋" w:eastAsia="仿宋" w:cs="仿宋"/>
        </w:rPr>
      </w:pPr>
      <w:r>
        <w:rPr>
          <w:rFonts w:hint="eastAsia" w:ascii="仿宋" w:hAnsi="仿宋" w:eastAsia="仿宋" w:cs="仿宋"/>
        </w:rPr>
        <w:t>201</w:t>
      </w:r>
      <w:r>
        <w:rPr>
          <w:rFonts w:hint="eastAsia" w:ascii="仿宋" w:hAnsi="仿宋" w:eastAsia="仿宋" w:cs="仿宋"/>
          <w:lang w:val="en-US" w:eastAsia="zh-CN"/>
        </w:rPr>
        <w:t>9</w:t>
      </w:r>
      <w:r>
        <w:rPr>
          <w:rFonts w:hint="eastAsia" w:ascii="仿宋" w:hAnsi="仿宋" w:eastAsia="仿宋" w:cs="仿宋"/>
          <w:spacing w:val="-3"/>
        </w:rPr>
        <w:t xml:space="preserve">年度一般公共预算财政拨款基本支出 </w:t>
      </w:r>
      <w:r>
        <w:rPr>
          <w:rFonts w:hint="eastAsia" w:ascii="仿宋" w:hAnsi="仿宋" w:eastAsia="仿宋" w:cs="仿宋"/>
          <w:lang w:val="en-US" w:eastAsia="zh-CN"/>
        </w:rPr>
        <w:t>2687.69</w:t>
      </w:r>
      <w:r>
        <w:rPr>
          <w:rFonts w:hint="eastAsia" w:ascii="仿宋" w:hAnsi="仿宋" w:eastAsia="仿宋" w:cs="仿宋"/>
          <w:spacing w:val="-38"/>
        </w:rPr>
        <w:t xml:space="preserve"> 万</w:t>
      </w:r>
      <w:r>
        <w:rPr>
          <w:rFonts w:hint="eastAsia" w:ascii="仿宋" w:hAnsi="仿宋" w:eastAsia="仿宋" w:cs="仿宋"/>
          <w:position w:val="1"/>
        </w:rPr>
        <w:t>元</w:t>
      </w:r>
      <w:r>
        <w:rPr>
          <w:rFonts w:hint="eastAsia" w:ascii="仿宋" w:hAnsi="仿宋" w:eastAsia="仿宋" w:cs="仿宋"/>
          <w:spacing w:val="-63"/>
          <w:position w:val="1"/>
        </w:rPr>
        <w:t>。</w:t>
      </w:r>
      <w:r>
        <w:rPr>
          <w:rFonts w:hint="eastAsia" w:ascii="仿宋" w:hAnsi="仿宋" w:eastAsia="仿宋" w:cs="仿宋"/>
          <w:position w:val="1"/>
        </w:rPr>
        <w:t>与</w:t>
      </w:r>
      <w:r>
        <w:rPr>
          <w:rFonts w:hint="eastAsia" w:ascii="仿宋" w:hAnsi="仿宋" w:eastAsia="仿宋" w:cs="仿宋"/>
          <w:spacing w:val="-81"/>
          <w:position w:val="1"/>
        </w:rPr>
        <w:t xml:space="preserve"> </w:t>
      </w:r>
      <w:r>
        <w:rPr>
          <w:rFonts w:hint="eastAsia" w:ascii="仿宋" w:hAnsi="仿宋" w:eastAsia="仿宋" w:cs="仿宋"/>
          <w:position w:val="1"/>
        </w:rPr>
        <w:t>201</w:t>
      </w:r>
      <w:r>
        <w:rPr>
          <w:rFonts w:hint="eastAsia" w:ascii="仿宋" w:hAnsi="仿宋" w:eastAsia="仿宋" w:cs="仿宋"/>
          <w:position w:val="1"/>
          <w:lang w:val="en-US" w:eastAsia="zh-CN"/>
        </w:rPr>
        <w:t>8</w:t>
      </w:r>
      <w:r>
        <w:rPr>
          <w:rFonts w:hint="eastAsia" w:ascii="仿宋" w:hAnsi="仿宋" w:eastAsia="仿宋" w:cs="仿宋"/>
          <w:position w:val="1"/>
        </w:rPr>
        <w:t>年度相比</w:t>
      </w:r>
      <w:r>
        <w:rPr>
          <w:rFonts w:hint="eastAsia" w:ascii="仿宋" w:hAnsi="仿宋" w:eastAsia="仿宋" w:cs="仿宋"/>
          <w:position w:val="1"/>
          <w:lang w:val="en-US" w:eastAsia="zh-CN"/>
        </w:rPr>
        <w:t>减少了38.05万元，主要是自然资源行业业务管理及自然资源调查事务减少</w:t>
      </w:r>
      <w:r>
        <w:rPr>
          <w:rFonts w:hint="eastAsia" w:ascii="仿宋" w:hAnsi="仿宋" w:eastAsia="仿宋" w:cs="仿宋"/>
          <w:position w:val="1"/>
          <w:lang w:eastAsia="zh-CN"/>
        </w:rPr>
        <w:t>。</w:t>
      </w:r>
      <w:r>
        <w:rPr>
          <w:rFonts w:hint="eastAsia" w:ascii="仿宋" w:hAnsi="仿宋" w:eastAsia="仿宋" w:cs="仿宋"/>
          <w:spacing w:val="-11"/>
        </w:rPr>
        <w:t>其中：人员经费</w:t>
      </w:r>
      <w:r>
        <w:rPr>
          <w:rFonts w:hint="eastAsia" w:ascii="仿宋" w:hAnsi="仿宋" w:eastAsia="仿宋" w:cs="仿宋"/>
          <w:spacing w:val="-11"/>
          <w:lang w:val="en-US" w:eastAsia="zh-CN"/>
        </w:rPr>
        <w:t>1733.22</w:t>
      </w:r>
      <w:r>
        <w:rPr>
          <w:rFonts w:hint="eastAsia" w:ascii="仿宋" w:hAnsi="仿宋" w:eastAsia="仿宋" w:cs="仿宋"/>
          <w:spacing w:val="-10"/>
        </w:rPr>
        <w:t>万元，主要包括：基本工</w:t>
      </w:r>
      <w:r>
        <w:rPr>
          <w:rFonts w:hint="eastAsia" w:ascii="仿宋" w:hAnsi="仿宋" w:eastAsia="仿宋" w:cs="仿宋"/>
          <w:spacing w:val="-4"/>
        </w:rPr>
        <w:t>资、津贴补贴、伙食补助费、绩效工资、机关事业单位基本</w:t>
      </w:r>
      <w:r>
        <w:rPr>
          <w:rFonts w:hint="eastAsia" w:ascii="仿宋" w:hAnsi="仿宋" w:eastAsia="仿宋" w:cs="仿宋"/>
          <w:spacing w:val="-5"/>
        </w:rPr>
        <w:t>养老保险缴费、职业年金缴费、其他社会保障缴费、其他工</w:t>
      </w:r>
      <w:r>
        <w:rPr>
          <w:rFonts w:hint="eastAsia" w:ascii="仿宋" w:hAnsi="仿宋" w:eastAsia="仿宋" w:cs="仿宋"/>
          <w:spacing w:val="-15"/>
          <w:w w:val="95"/>
        </w:rPr>
        <w:t xml:space="preserve">资福利支出、离休费、退休费、抚恤金、生活补助、医疗费、 </w:t>
      </w:r>
      <w:r>
        <w:rPr>
          <w:rFonts w:hint="eastAsia" w:ascii="仿宋" w:hAnsi="仿宋" w:eastAsia="仿宋" w:cs="仿宋"/>
          <w:spacing w:val="-7"/>
        </w:rPr>
        <w:t>奖励金</w:t>
      </w:r>
      <w:r>
        <w:rPr>
          <w:rFonts w:hint="eastAsia" w:ascii="仿宋" w:hAnsi="仿宋" w:eastAsia="仿宋" w:cs="仿宋"/>
          <w:spacing w:val="-13"/>
        </w:rPr>
        <w:t>支出等；公用经费</w:t>
      </w:r>
      <w:r>
        <w:rPr>
          <w:rFonts w:hint="eastAsia" w:ascii="仿宋" w:hAnsi="仿宋" w:eastAsia="仿宋" w:cs="仿宋"/>
          <w:spacing w:val="-13"/>
          <w:lang w:val="en-US" w:eastAsia="zh-CN"/>
        </w:rPr>
        <w:t>954.47</w:t>
      </w:r>
      <w:r>
        <w:rPr>
          <w:rFonts w:hint="eastAsia" w:ascii="仿宋" w:hAnsi="仿宋" w:eastAsia="仿宋" w:cs="仿宋"/>
          <w:spacing w:val="-12"/>
        </w:rPr>
        <w:t>万元，主要包括： 办公费、印刷费、咨询费、手续费、水费、电费、邮电费、</w:t>
      </w:r>
      <w:r>
        <w:rPr>
          <w:rFonts w:hint="eastAsia" w:ascii="仿宋" w:hAnsi="仿宋" w:eastAsia="仿宋" w:cs="仿宋"/>
          <w:spacing w:val="-6"/>
        </w:rPr>
        <w:t>取暖费、物业管理费、差旅费、</w:t>
      </w:r>
      <w:r>
        <w:rPr>
          <w:rFonts w:hint="eastAsia" w:ascii="仿宋" w:hAnsi="仿宋" w:eastAsia="仿宋" w:cs="仿宋"/>
          <w:spacing w:val="-1"/>
        </w:rPr>
        <w:t>维修</w:t>
      </w:r>
      <w:r>
        <w:rPr>
          <w:rFonts w:hint="eastAsia" w:ascii="仿宋" w:hAnsi="仿宋" w:eastAsia="仿宋" w:cs="仿宋"/>
          <w:w w:val="95"/>
        </w:rPr>
        <w:t>（护</w:t>
      </w:r>
      <w:r>
        <w:rPr>
          <w:rFonts w:hint="eastAsia" w:ascii="仿宋" w:hAnsi="仿宋" w:eastAsia="仿宋" w:cs="仿宋"/>
          <w:spacing w:val="-3"/>
          <w:w w:val="95"/>
        </w:rPr>
        <w:t>）</w:t>
      </w:r>
      <w:r>
        <w:rPr>
          <w:rFonts w:hint="eastAsia" w:ascii="仿宋" w:hAnsi="仿宋" w:eastAsia="仿宋" w:cs="仿宋"/>
          <w:spacing w:val="-2"/>
          <w:w w:val="95"/>
        </w:rPr>
        <w:t>费、租赁费、会议费、培训费、</w:t>
      </w:r>
      <w:r>
        <w:rPr>
          <w:rFonts w:hint="eastAsia" w:ascii="仿宋" w:hAnsi="仿宋" w:eastAsia="仿宋" w:cs="仿宋"/>
          <w:spacing w:val="-3"/>
        </w:rPr>
        <w:t>劳务费、委托业务费、工会经费、福利费、公务用车</w:t>
      </w:r>
      <w:r>
        <w:rPr>
          <w:rFonts w:hint="eastAsia" w:ascii="仿宋" w:hAnsi="仿宋" w:eastAsia="仿宋" w:cs="仿宋"/>
          <w:spacing w:val="-5"/>
        </w:rPr>
        <w:t>运行维护费、其他交通费用、其他商品和服务</w:t>
      </w:r>
      <w:r>
        <w:rPr>
          <w:rFonts w:hint="eastAsia" w:ascii="仿宋" w:hAnsi="仿宋" w:eastAsia="仿宋" w:cs="仿宋"/>
          <w:spacing w:val="-5"/>
          <w:lang w:eastAsia="zh-CN"/>
        </w:rPr>
        <w:t>、</w:t>
      </w:r>
      <w:r>
        <w:rPr>
          <w:rFonts w:hint="eastAsia" w:ascii="仿宋" w:hAnsi="仿宋" w:eastAsia="仿宋" w:cs="仿宋"/>
          <w:spacing w:val="-5"/>
        </w:rPr>
        <w:t>其他资本性支出</w:t>
      </w:r>
      <w:r>
        <w:rPr>
          <w:rFonts w:hint="eastAsia" w:ascii="仿宋" w:hAnsi="仿宋" w:eastAsia="仿宋" w:cs="仿宋"/>
          <w:spacing w:val="-5"/>
          <w:lang w:val="en-US" w:eastAsia="zh-CN"/>
        </w:rPr>
        <w:t>、</w:t>
      </w:r>
      <w:r>
        <w:rPr>
          <w:rFonts w:hint="eastAsia" w:ascii="仿宋" w:hAnsi="仿宋" w:eastAsia="仿宋" w:cs="仿宋"/>
          <w:spacing w:val="-5"/>
        </w:rPr>
        <w:t>信息网络及软件购置更新</w:t>
      </w:r>
      <w:r>
        <w:rPr>
          <w:rFonts w:hint="eastAsia" w:ascii="仿宋" w:hAnsi="仿宋" w:eastAsia="仿宋" w:cs="仿宋"/>
          <w:spacing w:val="-5"/>
          <w:lang w:val="en-US" w:eastAsia="zh-CN"/>
        </w:rPr>
        <w:t>支出等</w:t>
      </w:r>
      <w:r>
        <w:rPr>
          <w:rFonts w:hint="eastAsia" w:ascii="仿宋" w:hAnsi="仿宋" w:eastAsia="仿宋" w:cs="仿宋"/>
          <w:spacing w:val="-5"/>
        </w:rPr>
        <w:t>。</w:t>
      </w:r>
    </w:p>
    <w:p>
      <w:pPr>
        <w:pStyle w:val="3"/>
        <w:keepNext w:val="0"/>
        <w:keepLines w:val="0"/>
        <w:pageBreakBefore w:val="0"/>
        <w:widowControl/>
        <w:kinsoku/>
        <w:wordWrap/>
        <w:overflowPunct/>
        <w:topLinePunct w:val="0"/>
        <w:autoSpaceDN/>
        <w:bidi w:val="0"/>
        <w:spacing w:before="30"/>
        <w:ind w:firstLine="643" w:firstLineChars="200"/>
        <w:textAlignment w:val="auto"/>
        <w:rPr>
          <w:rFonts w:hint="eastAsia" w:ascii="仿宋" w:hAnsi="仿宋" w:eastAsia="仿宋" w:cs="仿宋"/>
          <w:b/>
          <w:bCs/>
        </w:rPr>
      </w:pPr>
      <w:r>
        <w:rPr>
          <w:rFonts w:hint="eastAsia" w:ascii="仿宋" w:hAnsi="仿宋" w:eastAsia="仿宋" w:cs="仿宋"/>
          <w:b/>
          <w:bCs/>
        </w:rPr>
        <w:t>七、一般公共预算财政拨款“三公”经费支出决算情况说明</w:t>
      </w:r>
    </w:p>
    <w:p>
      <w:pPr>
        <w:pStyle w:val="3"/>
        <w:keepNext w:val="0"/>
        <w:keepLines w:val="0"/>
        <w:pageBreakBefore w:val="0"/>
        <w:widowControl/>
        <w:kinsoku/>
        <w:wordWrap/>
        <w:overflowPunct/>
        <w:topLinePunct w:val="0"/>
        <w:autoSpaceDN/>
        <w:bidi w:val="0"/>
        <w:spacing w:before="214"/>
        <w:ind w:left="320" w:firstLine="643" w:firstLineChars="200"/>
        <w:textAlignment w:val="auto"/>
        <w:rPr>
          <w:rFonts w:hint="eastAsia" w:ascii="仿宋" w:hAnsi="仿宋" w:eastAsia="仿宋" w:cs="仿宋"/>
        </w:rPr>
      </w:pPr>
      <w:r>
        <w:rPr>
          <w:rFonts w:hint="eastAsia" w:ascii="仿宋" w:hAnsi="仿宋" w:eastAsia="仿宋" w:cs="仿宋"/>
          <w:b/>
          <w:bCs/>
        </w:rPr>
        <w:t>（一）“三公”经费财政拨款支出决算总体情况说明。</w:t>
      </w:r>
    </w:p>
    <w:p>
      <w:pPr>
        <w:pStyle w:val="3"/>
        <w:keepNext w:val="0"/>
        <w:keepLines w:val="0"/>
        <w:pageBreakBefore w:val="0"/>
        <w:widowControl/>
        <w:kinsoku/>
        <w:wordWrap/>
        <w:overflowPunct/>
        <w:topLinePunct w:val="0"/>
        <w:autoSpaceDN/>
        <w:bidi w:val="0"/>
        <w:spacing w:before="6"/>
        <w:textAlignment w:val="auto"/>
        <w:rPr>
          <w:rFonts w:hint="eastAsia" w:ascii="仿宋" w:hAnsi="仿宋" w:eastAsia="仿宋" w:cs="仿宋"/>
          <w:sz w:val="12"/>
          <w:szCs w:val="12"/>
        </w:rPr>
      </w:pPr>
      <w:r>
        <w:rPr>
          <w:rFonts w:hint="eastAsia" w:ascii="仿宋" w:hAnsi="仿宋" w:eastAsia="仿宋" w:cs="仿宋"/>
          <w:sz w:val="12"/>
          <w:szCs w:val="12"/>
        </w:rPr>
        <w:t xml:space="preserve"> </w:t>
      </w:r>
    </w:p>
    <w:p>
      <w:pPr>
        <w:pStyle w:val="3"/>
        <w:keepNext w:val="0"/>
        <w:keepLines w:val="0"/>
        <w:pageBreakBefore w:val="0"/>
        <w:widowControl/>
        <w:kinsoku/>
        <w:wordWrap/>
        <w:overflowPunct/>
        <w:topLinePunct w:val="0"/>
        <w:autoSpaceDE w:val="0"/>
        <w:autoSpaceDN/>
        <w:bidi w:val="0"/>
        <w:spacing w:before="54" w:line="360" w:lineRule="auto"/>
        <w:ind w:firstLine="600" w:firstLineChars="200"/>
        <w:textAlignment w:val="auto"/>
        <w:rPr>
          <w:rFonts w:hint="eastAsia" w:ascii="仿宋" w:hAnsi="仿宋" w:eastAsia="仿宋" w:cs="仿宋"/>
          <w:spacing w:val="-3"/>
        </w:rPr>
      </w:pPr>
      <w:r>
        <w:rPr>
          <w:rFonts w:hint="eastAsia" w:ascii="仿宋" w:hAnsi="仿宋" w:eastAsia="仿宋" w:cs="仿宋"/>
          <w:sz w:val="30"/>
          <w:szCs w:val="30"/>
        </w:rPr>
        <w:t>2</w:t>
      </w:r>
      <w:r>
        <w:rPr>
          <w:rFonts w:hint="eastAsia" w:ascii="仿宋" w:hAnsi="仿宋" w:eastAsia="仿宋" w:cs="仿宋"/>
        </w:rPr>
        <w:t xml:space="preserve">019 年度“三公”经费财政拨款支出预算为 </w:t>
      </w:r>
      <w:r>
        <w:rPr>
          <w:rFonts w:hint="eastAsia" w:ascii="仿宋" w:hAnsi="仿宋" w:eastAsia="仿宋" w:cs="仿宋"/>
          <w:lang w:val="en-US" w:eastAsia="zh-CN"/>
        </w:rPr>
        <w:t>3.64</w:t>
      </w:r>
      <w:r>
        <w:rPr>
          <w:rFonts w:hint="eastAsia" w:ascii="仿宋" w:hAnsi="仿宋" w:eastAsia="仿宋" w:cs="仿宋"/>
        </w:rPr>
        <w:t>万元，支出决算为</w:t>
      </w:r>
      <w:r>
        <w:rPr>
          <w:rFonts w:hint="eastAsia" w:ascii="仿宋" w:hAnsi="仿宋" w:eastAsia="仿宋" w:cs="仿宋"/>
          <w:lang w:val="en-US" w:eastAsia="zh-CN"/>
        </w:rPr>
        <w:t>3.64</w:t>
      </w:r>
      <w:r>
        <w:rPr>
          <w:rFonts w:hint="eastAsia" w:ascii="仿宋" w:hAnsi="仿宋" w:eastAsia="仿宋" w:cs="仿宋"/>
        </w:rPr>
        <w:t>万元</w:t>
      </w:r>
      <w:r>
        <w:rPr>
          <w:rFonts w:hint="eastAsia" w:ascii="仿宋" w:hAnsi="仿宋" w:eastAsia="仿宋" w:cs="仿宋"/>
          <w:spacing w:val="-84"/>
        </w:rPr>
        <w:t>，</w:t>
      </w:r>
      <w:r>
        <w:rPr>
          <w:rFonts w:hint="eastAsia" w:ascii="仿宋" w:hAnsi="仿宋" w:eastAsia="仿宋" w:cs="仿宋"/>
        </w:rPr>
        <w:t>完成预算的100</w:t>
      </w:r>
      <w:r>
        <w:rPr>
          <w:rFonts w:hint="eastAsia" w:ascii="仿宋" w:hAnsi="仿宋" w:eastAsia="仿宋" w:cs="仿宋"/>
        </w:rPr>
        <w:drawing>
          <wp:inline distT="0" distB="0" distL="114300" distR="114300">
            <wp:extent cx="85725" cy="161925"/>
            <wp:effectExtent l="0" t="0" r="9525" b="9525"/>
            <wp:docPr id="7" name="图片 5" descr="C:\Users\ADMINI~1\AppData\Local\Temp\ksohtml1060\wp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C:\Users\ADMINI~1\AppData\Local\Temp\ksohtml1060\wps18.jpg"/>
                    <pic:cNvPicPr>
                      <a:picLocks noChangeAspect="1"/>
                    </pic:cNvPicPr>
                  </pic:nvPicPr>
                  <pic:blipFill>
                    <a:blip r:embed="rId6"/>
                    <a:stretch>
                      <a:fillRect/>
                    </a:stretch>
                  </pic:blipFill>
                  <pic:spPr>
                    <a:xfrm>
                      <a:off x="0" y="0"/>
                      <a:ext cx="85725" cy="161925"/>
                    </a:xfrm>
                    <a:prstGeom prst="rect">
                      <a:avLst/>
                    </a:prstGeom>
                    <a:noFill/>
                    <a:ln>
                      <a:noFill/>
                    </a:ln>
                  </pic:spPr>
                </pic:pic>
              </a:graphicData>
            </a:graphic>
          </wp:inline>
        </w:drawing>
      </w:r>
      <w:r>
        <w:rPr>
          <w:rFonts w:hint="eastAsia" w:ascii="仿宋" w:hAnsi="仿宋" w:eastAsia="仿宋" w:cs="仿宋"/>
          <w:spacing w:val="-84"/>
        </w:rPr>
        <w:t>。</w:t>
      </w:r>
    </w:p>
    <w:p>
      <w:pPr>
        <w:pStyle w:val="3"/>
        <w:keepNext w:val="0"/>
        <w:keepLines w:val="0"/>
        <w:pageBreakBefore w:val="0"/>
        <w:widowControl/>
        <w:kinsoku/>
        <w:wordWrap/>
        <w:overflowPunct/>
        <w:topLinePunct w:val="0"/>
        <w:autoSpaceDN/>
        <w:bidi w:val="0"/>
        <w:ind w:left="960"/>
        <w:textAlignment w:val="auto"/>
        <w:rPr>
          <w:rFonts w:hint="eastAsia" w:ascii="仿宋" w:hAnsi="仿宋" w:eastAsia="仿宋" w:cs="仿宋"/>
          <w:b/>
          <w:bCs/>
        </w:rPr>
      </w:pPr>
      <w:r>
        <w:rPr>
          <w:rFonts w:hint="eastAsia" w:ascii="仿宋" w:hAnsi="仿宋" w:eastAsia="仿宋" w:cs="仿宋"/>
          <w:b/>
          <w:bCs/>
        </w:rPr>
        <w:t>（二）“三公”经费财政拨款支出决算具体情况说明。</w:t>
      </w:r>
    </w:p>
    <w:p>
      <w:pPr>
        <w:pStyle w:val="3"/>
        <w:keepNext w:val="0"/>
        <w:keepLines w:val="0"/>
        <w:pageBreakBefore w:val="0"/>
        <w:widowControl/>
        <w:kinsoku/>
        <w:wordWrap/>
        <w:overflowPunct/>
        <w:topLinePunct w:val="0"/>
        <w:autoSpaceDE/>
        <w:autoSpaceDN/>
        <w:bidi w:val="0"/>
        <w:adjustRightInd/>
        <w:snapToGrid/>
        <w:spacing w:before="213" w:line="360" w:lineRule="auto"/>
        <w:ind w:right="437" w:firstLine="684" w:firstLineChars="200"/>
        <w:textAlignment w:val="auto"/>
        <w:rPr>
          <w:rFonts w:hint="eastAsia" w:ascii="仿宋" w:hAnsi="仿宋" w:eastAsia="仿宋" w:cs="仿宋"/>
          <w:spacing w:val="11"/>
          <w:position w:val="1"/>
        </w:rPr>
      </w:pPr>
      <w:r>
        <w:rPr>
          <w:rFonts w:hint="eastAsia" w:ascii="仿宋" w:hAnsi="仿宋" w:eastAsia="仿宋" w:cs="仿宋"/>
          <w:spacing w:val="11"/>
        </w:rPr>
        <w:t>2019 年度“三公”经费财政拨款支出决算中，因公出国（境）费支出决算 0.00 万元，占 0.00</w:t>
      </w:r>
      <w:r>
        <w:rPr>
          <w:rFonts w:hint="eastAsia" w:ascii="仿宋" w:hAnsi="仿宋" w:eastAsia="仿宋" w:cs="仿宋"/>
          <w:spacing w:val="11"/>
        </w:rPr>
        <w:drawing>
          <wp:inline distT="0" distB="0" distL="114300" distR="114300">
            <wp:extent cx="85725" cy="161925"/>
            <wp:effectExtent l="0" t="0" r="9525" b="9525"/>
            <wp:docPr id="10" name="图片 6" descr="C:\Users\ADMINI~1\AppData\Local\Temp\ksohtml1060\wps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C:\Users\ADMINI~1\AppData\Local\Temp\ksohtml1060\wps19.jpg"/>
                    <pic:cNvPicPr>
                      <a:picLocks noChangeAspect="1"/>
                    </pic:cNvPicPr>
                  </pic:nvPicPr>
                  <pic:blipFill>
                    <a:blip r:embed="rId6"/>
                    <a:stretch>
                      <a:fillRect/>
                    </a:stretch>
                  </pic:blipFill>
                  <pic:spPr>
                    <a:xfrm>
                      <a:off x="0" y="0"/>
                      <a:ext cx="85725" cy="161925"/>
                    </a:xfrm>
                    <a:prstGeom prst="rect">
                      <a:avLst/>
                    </a:prstGeom>
                    <a:noFill/>
                    <a:ln>
                      <a:noFill/>
                    </a:ln>
                  </pic:spPr>
                </pic:pic>
              </a:graphicData>
            </a:graphic>
          </wp:inline>
        </w:drawing>
      </w:r>
      <w:r>
        <w:rPr>
          <w:rFonts w:hint="eastAsia" w:ascii="仿宋" w:hAnsi="仿宋" w:eastAsia="仿宋" w:cs="仿宋"/>
          <w:spacing w:val="11"/>
        </w:rPr>
        <w:t>，完成预算的 0.00</w:t>
      </w:r>
      <w:r>
        <w:rPr>
          <w:rFonts w:hint="eastAsia" w:ascii="仿宋" w:hAnsi="仿宋" w:eastAsia="仿宋" w:cs="仿宋"/>
          <w:spacing w:val="11"/>
        </w:rPr>
        <w:drawing>
          <wp:inline distT="0" distB="0" distL="114300" distR="114300">
            <wp:extent cx="85725" cy="161925"/>
            <wp:effectExtent l="0" t="0" r="9525" b="9525"/>
            <wp:docPr id="12" name="图片 7" descr="C:\Users\ADMINI~1\AppData\Local\Temp\ksohtml1060\wps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descr="C:\Users\ADMINI~1\AppData\Local\Temp\ksohtml1060\wps20.jpg"/>
                    <pic:cNvPicPr>
                      <a:picLocks noChangeAspect="1"/>
                    </pic:cNvPicPr>
                  </pic:nvPicPr>
                  <pic:blipFill>
                    <a:blip r:embed="rId6"/>
                    <a:stretch>
                      <a:fillRect/>
                    </a:stretch>
                  </pic:blipFill>
                  <pic:spPr>
                    <a:xfrm>
                      <a:off x="0" y="0"/>
                      <a:ext cx="85725" cy="161925"/>
                    </a:xfrm>
                    <a:prstGeom prst="rect">
                      <a:avLst/>
                    </a:prstGeom>
                    <a:noFill/>
                    <a:ln>
                      <a:noFill/>
                    </a:ln>
                  </pic:spPr>
                </pic:pic>
              </a:graphicData>
            </a:graphic>
          </wp:inline>
        </w:drawing>
      </w:r>
      <w:r>
        <w:rPr>
          <w:rFonts w:hint="eastAsia" w:ascii="仿宋" w:hAnsi="仿宋" w:eastAsia="仿宋" w:cs="仿宋"/>
          <w:spacing w:val="11"/>
        </w:rPr>
        <w:t xml:space="preserve">； </w:t>
      </w:r>
      <w:r>
        <w:rPr>
          <w:rFonts w:hint="eastAsia" w:ascii="仿宋" w:hAnsi="仿宋" w:eastAsia="仿宋" w:cs="仿宋"/>
          <w:spacing w:val="11"/>
          <w:position w:val="1"/>
        </w:rPr>
        <w:t>公务用车购置及运行费支出决算</w:t>
      </w:r>
      <w:r>
        <w:rPr>
          <w:rFonts w:hint="eastAsia" w:ascii="仿宋" w:hAnsi="仿宋" w:eastAsia="仿宋" w:cs="仿宋"/>
          <w:lang w:val="en-US" w:eastAsia="zh-CN"/>
        </w:rPr>
        <w:t>3.64</w:t>
      </w:r>
      <w:r>
        <w:rPr>
          <w:rFonts w:hint="eastAsia" w:ascii="仿宋" w:hAnsi="仿宋" w:eastAsia="仿宋" w:cs="仿宋"/>
          <w:spacing w:val="11"/>
          <w:position w:val="1"/>
        </w:rPr>
        <w:t>万元，占100.00%，完</w:t>
      </w:r>
      <w:r>
        <w:rPr>
          <w:rFonts w:hint="eastAsia" w:ascii="仿宋" w:hAnsi="仿宋" w:eastAsia="仿宋" w:cs="仿宋"/>
          <w:spacing w:val="11"/>
        </w:rPr>
        <w:t>成预算的100%；公务接待费支出决算0万元，占</w:t>
      </w:r>
      <w:r>
        <w:rPr>
          <w:rFonts w:hint="eastAsia" w:ascii="仿宋" w:hAnsi="仿宋" w:eastAsia="仿宋" w:cs="仿宋"/>
          <w:spacing w:val="11"/>
          <w:position w:val="1"/>
        </w:rPr>
        <w:t>0</w:t>
      </w:r>
      <w:r>
        <w:rPr>
          <w:rFonts w:hint="eastAsia" w:ascii="仿宋" w:hAnsi="仿宋" w:eastAsia="仿宋" w:cs="仿宋"/>
          <w:spacing w:val="11"/>
        </w:rPr>
        <w:drawing>
          <wp:inline distT="0" distB="0" distL="114300" distR="114300">
            <wp:extent cx="85725" cy="161925"/>
            <wp:effectExtent l="0" t="0" r="9525" b="9525"/>
            <wp:docPr id="11" name="图片 8" descr="C:\Users\ADMINI~1\AppData\Local\Temp\ksohtml1060\wp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descr="C:\Users\ADMINI~1\AppData\Local\Temp\ksohtml1060\wps21.jpg"/>
                    <pic:cNvPicPr>
                      <a:picLocks noChangeAspect="1"/>
                    </pic:cNvPicPr>
                  </pic:nvPicPr>
                  <pic:blipFill>
                    <a:blip r:embed="rId6"/>
                    <a:stretch>
                      <a:fillRect/>
                    </a:stretch>
                  </pic:blipFill>
                  <pic:spPr>
                    <a:xfrm>
                      <a:off x="0" y="0"/>
                      <a:ext cx="85725" cy="161925"/>
                    </a:xfrm>
                    <a:prstGeom prst="rect">
                      <a:avLst/>
                    </a:prstGeom>
                    <a:noFill/>
                    <a:ln>
                      <a:noFill/>
                    </a:ln>
                  </pic:spPr>
                </pic:pic>
              </a:graphicData>
            </a:graphic>
          </wp:inline>
        </w:drawing>
      </w:r>
      <w:r>
        <w:rPr>
          <w:rFonts w:hint="eastAsia" w:ascii="仿宋" w:hAnsi="仿宋" w:eastAsia="仿宋" w:cs="仿宋"/>
          <w:spacing w:val="11"/>
          <w:position w:val="1"/>
        </w:rPr>
        <w:t>，完成预算的0%。 具体情况如下：</w:t>
      </w:r>
    </w:p>
    <w:p>
      <w:pPr>
        <w:keepNext w:val="0"/>
        <w:keepLines w:val="0"/>
        <w:pageBreakBefore w:val="0"/>
        <w:widowControl/>
        <w:numPr>
          <w:ilvl w:val="0"/>
          <w:numId w:val="2"/>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 w:hAnsi="仿宋" w:eastAsia="仿宋" w:cs="仿宋"/>
          <w:color w:val="auto"/>
          <w:sz w:val="32"/>
          <w:szCs w:val="32"/>
          <w:highlight w:val="none"/>
          <w:u w:val="none"/>
          <w:lang w:val="en-US" w:eastAsia="zh-CN"/>
        </w:rPr>
      </w:pPr>
      <w:r>
        <w:rPr>
          <w:rFonts w:hint="eastAsia" w:ascii="仿宋" w:hAnsi="仿宋" w:eastAsia="仿宋" w:cs="仿宋"/>
          <w:b/>
          <w:bCs/>
          <w:color w:val="auto"/>
          <w:sz w:val="32"/>
          <w:szCs w:val="32"/>
          <w:highlight w:val="none"/>
          <w:lang w:val="en-US" w:eastAsia="zh-CN"/>
        </w:rPr>
        <w:t>因公出国（境）费</w:t>
      </w:r>
      <w:r>
        <w:rPr>
          <w:rFonts w:hint="eastAsia" w:ascii="仿宋" w:hAnsi="仿宋" w:eastAsia="仿宋" w:cs="仿宋"/>
          <w:color w:val="auto"/>
          <w:sz w:val="32"/>
          <w:szCs w:val="32"/>
          <w:highlight w:val="none"/>
          <w:lang w:val="en-US" w:eastAsia="zh-CN"/>
        </w:rPr>
        <w:t>年初预算为0万元，支出决算为0万元，完成年初预算的0%。</w:t>
      </w:r>
      <w:r>
        <w:rPr>
          <w:rFonts w:hint="eastAsia" w:ascii="仿宋" w:hAnsi="仿宋" w:eastAsia="仿宋" w:cs="仿宋"/>
          <w:color w:val="auto"/>
          <w:sz w:val="32"/>
          <w:szCs w:val="32"/>
          <w:highlight w:val="none"/>
          <w:u w:val="none"/>
          <w:lang w:val="en-US" w:eastAsia="zh-CN"/>
        </w:rPr>
        <w:t>全年因公出国（境）团组0个，累计0人次。</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2．公务用车购置及运行费</w:t>
      </w:r>
      <w:r>
        <w:rPr>
          <w:rFonts w:hint="eastAsia" w:ascii="仿宋" w:hAnsi="仿宋" w:eastAsia="仿宋" w:cs="仿宋"/>
          <w:b w:val="0"/>
          <w:bCs w:val="0"/>
          <w:color w:val="auto"/>
          <w:sz w:val="32"/>
          <w:szCs w:val="32"/>
          <w:highlight w:val="none"/>
          <w:u w:val="none"/>
          <w:lang w:val="en-US" w:eastAsia="zh-CN"/>
        </w:rPr>
        <w:t>年</w:t>
      </w:r>
      <w:r>
        <w:rPr>
          <w:rFonts w:hint="eastAsia" w:ascii="仿宋" w:hAnsi="仿宋" w:eastAsia="仿宋" w:cs="仿宋"/>
          <w:color w:val="auto"/>
          <w:sz w:val="32"/>
          <w:szCs w:val="32"/>
          <w:highlight w:val="none"/>
          <w:lang w:val="en-US" w:eastAsia="zh-CN"/>
        </w:rPr>
        <w:t>初预算为</w:t>
      </w:r>
      <w:r>
        <w:rPr>
          <w:rFonts w:hint="eastAsia" w:ascii="仿宋" w:hAnsi="仿宋" w:eastAsia="仿宋" w:cs="仿宋"/>
          <w:sz w:val="30"/>
          <w:szCs w:val="30"/>
          <w:lang w:val="en-US" w:eastAsia="zh-CN"/>
        </w:rPr>
        <w:t>3.64</w:t>
      </w:r>
      <w:r>
        <w:rPr>
          <w:rFonts w:hint="eastAsia" w:ascii="仿宋" w:hAnsi="仿宋" w:eastAsia="仿宋" w:cs="仿宋"/>
          <w:color w:val="auto"/>
          <w:sz w:val="32"/>
          <w:szCs w:val="32"/>
          <w:highlight w:val="none"/>
          <w:lang w:val="en-US" w:eastAsia="zh-CN"/>
        </w:rPr>
        <w:t>万元，支出决算为</w:t>
      </w:r>
      <w:r>
        <w:rPr>
          <w:rFonts w:hint="eastAsia" w:ascii="仿宋" w:hAnsi="仿宋" w:eastAsia="仿宋" w:cs="仿宋"/>
          <w:sz w:val="30"/>
          <w:szCs w:val="30"/>
          <w:lang w:val="en-US" w:eastAsia="zh-CN"/>
        </w:rPr>
        <w:t>3.64</w:t>
      </w:r>
      <w:r>
        <w:rPr>
          <w:rFonts w:hint="eastAsia" w:ascii="仿宋" w:hAnsi="仿宋" w:eastAsia="仿宋" w:cs="仿宋"/>
          <w:color w:val="auto"/>
          <w:sz w:val="32"/>
          <w:szCs w:val="32"/>
          <w:highlight w:val="none"/>
          <w:lang w:val="en-US" w:eastAsia="zh-CN"/>
        </w:rPr>
        <w:t>万元，完成年初预算的100%。其中：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公务用车购置支出</w:t>
      </w:r>
      <w:r>
        <w:rPr>
          <w:rFonts w:hint="eastAsia" w:ascii="仿宋" w:hAnsi="仿宋" w:eastAsia="仿宋" w:cs="仿宋"/>
          <w:color w:val="auto"/>
          <w:sz w:val="32"/>
          <w:szCs w:val="32"/>
          <w:highlight w:val="none"/>
          <w:lang w:val="en-US" w:eastAsia="zh-CN"/>
        </w:rPr>
        <w:t>0万元，购置车辆0辆。</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公务用车运行支出</w:t>
      </w:r>
      <w:r>
        <w:rPr>
          <w:rFonts w:hint="eastAsia" w:ascii="仿宋" w:hAnsi="仿宋" w:eastAsia="仿宋" w:cs="仿宋"/>
          <w:sz w:val="30"/>
          <w:szCs w:val="30"/>
          <w:lang w:val="en-US" w:eastAsia="zh-CN"/>
        </w:rPr>
        <w:t>3.64</w:t>
      </w:r>
      <w:r>
        <w:rPr>
          <w:rFonts w:hint="eastAsia" w:ascii="仿宋" w:hAnsi="仿宋" w:eastAsia="仿宋" w:cs="仿宋"/>
          <w:color w:val="auto"/>
          <w:sz w:val="32"/>
          <w:szCs w:val="32"/>
          <w:highlight w:val="none"/>
          <w:lang w:val="en-US" w:eastAsia="zh-CN"/>
        </w:rPr>
        <w:t>万元。2019年期末，部门开支财政拨款的公务用车保有量为1辆。</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3.公务接待费</w:t>
      </w:r>
      <w:r>
        <w:rPr>
          <w:rFonts w:hint="eastAsia" w:ascii="仿宋" w:hAnsi="仿宋" w:eastAsia="仿宋" w:cs="仿宋"/>
          <w:b w:val="0"/>
          <w:bCs w:val="0"/>
          <w:color w:val="auto"/>
          <w:sz w:val="32"/>
          <w:szCs w:val="32"/>
          <w:highlight w:val="none"/>
          <w:u w:val="none"/>
          <w:lang w:val="en-US" w:eastAsia="zh-CN"/>
        </w:rPr>
        <w:t>年</w:t>
      </w:r>
      <w:r>
        <w:rPr>
          <w:rFonts w:hint="eastAsia" w:ascii="仿宋" w:hAnsi="仿宋" w:eastAsia="仿宋" w:cs="仿宋"/>
          <w:color w:val="auto"/>
          <w:sz w:val="32"/>
          <w:szCs w:val="32"/>
          <w:highlight w:val="none"/>
          <w:lang w:val="en-US" w:eastAsia="zh-CN"/>
        </w:rPr>
        <w:t>初预算为0万元，支出决算为0万元。其中：</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外宾接待支出</w:t>
      </w:r>
      <w:r>
        <w:rPr>
          <w:rFonts w:hint="eastAsia" w:ascii="仿宋" w:hAnsi="仿宋" w:eastAsia="仿宋" w:cs="仿宋"/>
          <w:color w:val="auto"/>
          <w:sz w:val="32"/>
          <w:szCs w:val="32"/>
          <w:highlight w:val="none"/>
          <w:lang w:val="en-US" w:eastAsia="zh-CN"/>
        </w:rPr>
        <w:t>0万元。2019年共接待国（境）外来访团组0个、来访外宾0人次（不包括陪同人员）。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643"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其他国内公务接待支出</w:t>
      </w:r>
      <w:r>
        <w:rPr>
          <w:rFonts w:hint="eastAsia" w:ascii="仿宋" w:hAnsi="仿宋" w:eastAsia="仿宋" w:cs="仿宋"/>
          <w:color w:val="auto"/>
          <w:sz w:val="32"/>
          <w:szCs w:val="32"/>
          <w:highlight w:val="none"/>
          <w:lang w:val="en-US" w:eastAsia="zh-CN"/>
        </w:rPr>
        <w:t>0万元。2019年共接待国内来访团组0个、来宾0人次（不包括陪同人员）。</w:t>
      </w:r>
    </w:p>
    <w:p>
      <w:pPr>
        <w:pStyle w:val="3"/>
        <w:keepNext w:val="0"/>
        <w:keepLines w:val="0"/>
        <w:pageBreakBefore w:val="0"/>
        <w:widowControl/>
        <w:kinsoku/>
        <w:wordWrap/>
        <w:overflowPunct/>
        <w:topLinePunct w:val="0"/>
        <w:autoSpaceDE/>
        <w:autoSpaceDN/>
        <w:bidi w:val="0"/>
        <w:adjustRightInd/>
        <w:snapToGrid/>
        <w:spacing w:line="360" w:lineRule="auto"/>
        <w:ind w:firstLine="964" w:firstLineChars="300"/>
        <w:textAlignment w:val="auto"/>
        <w:rPr>
          <w:rFonts w:hint="eastAsia" w:ascii="仿宋" w:hAnsi="仿宋" w:eastAsia="仿宋" w:cs="仿宋"/>
          <w:b/>
          <w:bCs/>
        </w:rPr>
      </w:pPr>
      <w:r>
        <w:rPr>
          <w:rFonts w:hint="eastAsia" w:ascii="仿宋" w:hAnsi="仿宋" w:eastAsia="仿宋" w:cs="仿宋"/>
          <w:b/>
          <w:bCs/>
        </w:rPr>
        <w:t>八、预算绩效情况说明</w:t>
      </w:r>
    </w:p>
    <w:p>
      <w:pPr>
        <w:pStyle w:val="3"/>
        <w:keepNext w:val="0"/>
        <w:keepLines w:val="0"/>
        <w:pageBreakBefore w:val="0"/>
        <w:widowControl/>
        <w:kinsoku/>
        <w:wordWrap/>
        <w:overflowPunct/>
        <w:topLinePunct w:val="0"/>
        <w:autoSpaceDE/>
        <w:autoSpaceDN/>
        <w:bidi w:val="0"/>
        <w:adjustRightInd/>
        <w:snapToGrid/>
        <w:spacing w:before="3" w:line="360" w:lineRule="auto"/>
        <w:ind w:firstLine="643" w:firstLineChars="200"/>
        <w:textAlignment w:val="auto"/>
        <w:rPr>
          <w:rFonts w:hint="eastAsia" w:ascii="仿宋" w:hAnsi="仿宋" w:eastAsia="仿宋" w:cs="仿宋"/>
          <w:b/>
          <w:bCs/>
          <w:lang w:val="en-US" w:eastAsia="zh-CN"/>
        </w:rPr>
      </w:pPr>
      <w:r>
        <w:rPr>
          <w:rFonts w:hint="eastAsia" w:ascii="仿宋" w:hAnsi="仿宋" w:eastAsia="仿宋" w:cs="仿宋"/>
          <w:b/>
          <w:bCs/>
          <w:lang w:val="en-US" w:eastAsia="zh-CN"/>
        </w:rPr>
        <w:t>（一）绩效管理工作开展情况。</w:t>
      </w:r>
    </w:p>
    <w:p>
      <w:pPr>
        <w:pStyle w:val="3"/>
        <w:keepNext w:val="0"/>
        <w:keepLines w:val="0"/>
        <w:pageBreakBefore w:val="0"/>
        <w:widowControl/>
        <w:kinsoku/>
        <w:wordWrap/>
        <w:overflowPunct/>
        <w:topLinePunct w:val="0"/>
        <w:autoSpaceDE/>
        <w:autoSpaceDN/>
        <w:bidi w:val="0"/>
        <w:adjustRightInd/>
        <w:snapToGrid/>
        <w:spacing w:before="3" w:line="360" w:lineRule="auto"/>
        <w:ind w:firstLine="640" w:firstLineChars="200"/>
        <w:textAlignment w:val="auto"/>
        <w:rPr>
          <w:rFonts w:hint="eastAsia" w:ascii="仿宋" w:hAnsi="仿宋" w:eastAsia="仿宋" w:cs="仿宋"/>
          <w:b w:val="0"/>
          <w:bCs w:val="0"/>
          <w:spacing w:val="-12"/>
          <w:lang w:val="en-US" w:eastAsia="zh-CN"/>
        </w:rPr>
      </w:pPr>
      <w:r>
        <w:rPr>
          <w:rFonts w:hint="eastAsia" w:ascii="仿宋" w:hAnsi="仿宋" w:eastAsia="仿宋" w:cs="仿宋"/>
          <w:b w:val="0"/>
          <w:bCs w:val="0"/>
          <w:lang w:val="en-US" w:eastAsia="zh-CN"/>
        </w:rPr>
        <w:t>2019年，我单位纳入预算绩效管理的支出总额为2687.69万元，</w:t>
      </w:r>
      <w:r>
        <w:rPr>
          <w:rFonts w:hint="eastAsia" w:ascii="仿宋" w:hAnsi="仿宋" w:eastAsia="仿宋" w:cs="仿宋"/>
          <w:b w:val="0"/>
          <w:bCs w:val="0"/>
          <w:spacing w:val="-11"/>
        </w:rPr>
        <w:t>人员经费</w:t>
      </w:r>
      <w:r>
        <w:rPr>
          <w:rFonts w:hint="eastAsia" w:ascii="仿宋" w:hAnsi="仿宋" w:eastAsia="仿宋" w:cs="仿宋"/>
          <w:b w:val="0"/>
          <w:bCs w:val="0"/>
          <w:spacing w:val="-11"/>
          <w:lang w:val="en-US" w:eastAsia="zh-CN"/>
        </w:rPr>
        <w:t>1733.22</w:t>
      </w:r>
      <w:r>
        <w:rPr>
          <w:rFonts w:hint="eastAsia" w:ascii="仿宋" w:hAnsi="仿宋" w:eastAsia="仿宋" w:cs="仿宋"/>
          <w:b w:val="0"/>
          <w:bCs w:val="0"/>
          <w:spacing w:val="-10"/>
        </w:rPr>
        <w:t>万元</w:t>
      </w:r>
      <w:r>
        <w:rPr>
          <w:rFonts w:hint="eastAsia" w:ascii="仿宋" w:hAnsi="仿宋" w:eastAsia="仿宋" w:cs="仿宋"/>
          <w:b w:val="0"/>
          <w:bCs w:val="0"/>
          <w:spacing w:val="-10"/>
          <w:lang w:eastAsia="zh-CN"/>
        </w:rPr>
        <w:t>，</w:t>
      </w:r>
      <w:r>
        <w:rPr>
          <w:rFonts w:hint="eastAsia" w:ascii="仿宋" w:hAnsi="仿宋" w:eastAsia="仿宋" w:cs="仿宋"/>
          <w:b w:val="0"/>
          <w:bCs w:val="0"/>
          <w:spacing w:val="-13"/>
        </w:rPr>
        <w:t>公用经费</w:t>
      </w:r>
      <w:r>
        <w:rPr>
          <w:rFonts w:hint="eastAsia" w:ascii="仿宋" w:hAnsi="仿宋" w:eastAsia="仿宋" w:cs="仿宋"/>
          <w:b w:val="0"/>
          <w:bCs w:val="0"/>
          <w:spacing w:val="-13"/>
          <w:lang w:val="en-US" w:eastAsia="zh-CN"/>
        </w:rPr>
        <w:t>954.47</w:t>
      </w:r>
      <w:r>
        <w:rPr>
          <w:rFonts w:hint="eastAsia" w:ascii="仿宋" w:hAnsi="仿宋" w:eastAsia="仿宋" w:cs="仿宋"/>
          <w:b w:val="0"/>
          <w:bCs w:val="0"/>
          <w:spacing w:val="-12"/>
        </w:rPr>
        <w:t>万元</w:t>
      </w:r>
      <w:r>
        <w:rPr>
          <w:rFonts w:hint="eastAsia" w:ascii="仿宋" w:hAnsi="仿宋" w:eastAsia="仿宋" w:cs="仿宋"/>
          <w:b w:val="0"/>
          <w:bCs w:val="0"/>
          <w:spacing w:val="-12"/>
          <w:lang w:eastAsia="zh-CN"/>
        </w:rPr>
        <w:t>；支出项目</w:t>
      </w:r>
      <w:r>
        <w:rPr>
          <w:rFonts w:hint="eastAsia" w:ascii="仿宋" w:hAnsi="仿宋" w:eastAsia="仿宋" w:cs="仿宋"/>
          <w:b w:val="0"/>
          <w:bCs w:val="0"/>
          <w:spacing w:val="-12"/>
          <w:lang w:val="en-US" w:eastAsia="zh-CN"/>
        </w:rPr>
        <w:t>0个，支出金额0万元。其中，纳入重点绩效评价（部门评价或财政评价）0个，评价金额0万元。</w:t>
      </w:r>
    </w:p>
    <w:p>
      <w:pPr>
        <w:pStyle w:val="3"/>
        <w:keepNext w:val="0"/>
        <w:keepLines w:val="0"/>
        <w:pageBreakBefore w:val="0"/>
        <w:widowControl/>
        <w:numPr>
          <w:ilvl w:val="0"/>
          <w:numId w:val="3"/>
        </w:numPr>
        <w:kinsoku/>
        <w:wordWrap/>
        <w:overflowPunct/>
        <w:topLinePunct w:val="0"/>
        <w:autoSpaceDE/>
        <w:autoSpaceDN/>
        <w:bidi w:val="0"/>
        <w:adjustRightInd/>
        <w:snapToGrid/>
        <w:spacing w:before="3" w:line="360" w:lineRule="auto"/>
        <w:ind w:firstLine="595" w:firstLineChars="200"/>
        <w:textAlignment w:val="auto"/>
        <w:rPr>
          <w:rFonts w:hint="eastAsia" w:ascii="仿宋" w:hAnsi="仿宋" w:eastAsia="仿宋" w:cs="仿宋"/>
          <w:b/>
          <w:bCs/>
          <w:spacing w:val="-12"/>
          <w:lang w:val="en-US" w:eastAsia="zh-CN"/>
        </w:rPr>
      </w:pPr>
      <w:r>
        <w:rPr>
          <w:rFonts w:hint="eastAsia" w:ascii="仿宋" w:hAnsi="仿宋" w:eastAsia="仿宋" w:cs="仿宋"/>
          <w:b/>
          <w:bCs/>
          <w:spacing w:val="-12"/>
          <w:lang w:val="en-US" w:eastAsia="zh-CN"/>
        </w:rPr>
        <w:t>项目绩效自评结果。</w:t>
      </w:r>
    </w:p>
    <w:p>
      <w:pPr>
        <w:pStyle w:val="3"/>
        <w:keepNext w:val="0"/>
        <w:keepLines w:val="0"/>
        <w:pageBreakBefore w:val="0"/>
        <w:widowControl/>
        <w:numPr>
          <w:numId w:val="0"/>
        </w:numPr>
        <w:kinsoku/>
        <w:wordWrap/>
        <w:overflowPunct/>
        <w:topLinePunct w:val="0"/>
        <w:autoSpaceDE/>
        <w:autoSpaceDN/>
        <w:bidi w:val="0"/>
        <w:adjustRightInd/>
        <w:snapToGrid/>
        <w:spacing w:before="3" w:line="360" w:lineRule="auto"/>
        <w:ind w:firstLine="592" w:firstLineChars="200"/>
        <w:textAlignment w:val="auto"/>
        <w:rPr>
          <w:rFonts w:hint="eastAsia" w:ascii="仿宋" w:hAnsi="仿宋" w:eastAsia="仿宋" w:cs="仿宋"/>
          <w:spacing w:val="-12"/>
          <w:lang w:val="en-US" w:eastAsia="zh-CN"/>
        </w:rPr>
      </w:pPr>
      <w:r>
        <w:rPr>
          <w:rFonts w:hint="eastAsia" w:ascii="仿宋" w:hAnsi="仿宋" w:eastAsia="仿宋" w:cs="仿宋"/>
          <w:spacing w:val="-12"/>
          <w:lang w:val="en-US" w:eastAsia="zh-CN"/>
        </w:rPr>
        <w:t>绩效评价结果良好，在上级部门的领导下，较好的完成了各项任务，本年度财政收支末发生重大问题</w:t>
      </w:r>
    </w:p>
    <w:p>
      <w:pPr>
        <w:pStyle w:val="3"/>
        <w:keepNext w:val="0"/>
        <w:keepLines w:val="0"/>
        <w:pageBreakBefore w:val="0"/>
        <w:widowControl/>
        <w:numPr>
          <w:ilvl w:val="0"/>
          <w:numId w:val="3"/>
        </w:numPr>
        <w:kinsoku/>
        <w:wordWrap/>
        <w:overflowPunct/>
        <w:topLinePunct w:val="0"/>
        <w:autoSpaceDE/>
        <w:autoSpaceDN/>
        <w:bidi w:val="0"/>
        <w:adjustRightInd/>
        <w:snapToGrid/>
        <w:spacing w:before="3" w:line="360" w:lineRule="auto"/>
        <w:ind w:left="0" w:leftChars="0" w:firstLine="595" w:firstLineChars="200"/>
        <w:textAlignment w:val="auto"/>
        <w:rPr>
          <w:rFonts w:hint="eastAsia" w:ascii="仿宋" w:hAnsi="仿宋" w:eastAsia="仿宋" w:cs="仿宋"/>
          <w:b/>
          <w:bCs/>
          <w:spacing w:val="-12"/>
          <w:lang w:val="en-US" w:eastAsia="zh-CN"/>
        </w:rPr>
      </w:pPr>
      <w:r>
        <w:rPr>
          <w:rFonts w:hint="eastAsia" w:ascii="仿宋" w:hAnsi="仿宋" w:eastAsia="仿宋" w:cs="仿宋"/>
          <w:b/>
          <w:bCs/>
          <w:spacing w:val="-12"/>
          <w:lang w:val="en-US" w:eastAsia="zh-CN"/>
        </w:rPr>
        <w:t>重点绩效评价结果。</w:t>
      </w:r>
    </w:p>
    <w:p>
      <w:pPr>
        <w:pStyle w:val="3"/>
        <w:keepNext w:val="0"/>
        <w:keepLines w:val="0"/>
        <w:pageBreakBefore w:val="0"/>
        <w:widowControl/>
        <w:numPr>
          <w:numId w:val="0"/>
        </w:numPr>
        <w:kinsoku/>
        <w:wordWrap/>
        <w:overflowPunct/>
        <w:topLinePunct w:val="0"/>
        <w:autoSpaceDE/>
        <w:autoSpaceDN/>
        <w:bidi w:val="0"/>
        <w:adjustRightInd/>
        <w:snapToGrid/>
        <w:spacing w:before="3" w:line="360" w:lineRule="auto"/>
        <w:ind w:leftChars="300" w:firstLine="592" w:firstLineChars="200"/>
        <w:textAlignment w:val="auto"/>
        <w:rPr>
          <w:rFonts w:hint="eastAsia" w:ascii="仿宋" w:hAnsi="仿宋" w:eastAsia="仿宋" w:cs="仿宋"/>
          <w:spacing w:val="-12"/>
          <w:lang w:val="en-US" w:eastAsia="zh-CN"/>
        </w:rPr>
      </w:pPr>
      <w:r>
        <w:rPr>
          <w:rFonts w:hint="eastAsia" w:ascii="仿宋" w:hAnsi="仿宋" w:eastAsia="仿宋" w:cs="仿宋"/>
          <w:spacing w:val="-12"/>
          <w:lang w:val="en-US" w:eastAsia="zh-CN"/>
        </w:rPr>
        <w:t>我部门无重点绩效评价项目。</w:t>
      </w:r>
    </w:p>
    <w:p>
      <w:pPr>
        <w:pStyle w:val="3"/>
        <w:keepNext w:val="0"/>
        <w:keepLines w:val="0"/>
        <w:pageBreakBefore w:val="0"/>
        <w:widowControl/>
        <w:kinsoku/>
        <w:wordWrap/>
        <w:overflowPunct/>
        <w:topLinePunct w:val="0"/>
        <w:autoSpaceDN/>
        <w:bidi w:val="0"/>
        <w:spacing w:before="3"/>
        <w:ind w:left="960"/>
        <w:textAlignment w:val="auto"/>
        <w:rPr>
          <w:rFonts w:hint="eastAsia" w:ascii="仿宋" w:hAnsi="仿宋" w:eastAsia="仿宋" w:cs="仿宋"/>
          <w:b/>
          <w:bCs/>
        </w:rPr>
      </w:pPr>
      <w:r>
        <w:rPr>
          <w:rFonts w:hint="eastAsia" w:ascii="仿宋" w:hAnsi="仿宋" w:eastAsia="仿宋" w:cs="仿宋"/>
          <w:b/>
          <w:bCs/>
        </w:rPr>
        <w:t>九、政府性基金预算财政拨款支出决算情况说明</w:t>
      </w:r>
    </w:p>
    <w:p>
      <w:pPr>
        <w:pStyle w:val="3"/>
        <w:keepNext w:val="0"/>
        <w:keepLines w:val="0"/>
        <w:pageBreakBefore w:val="0"/>
        <w:widowControl/>
        <w:kinsoku/>
        <w:wordWrap/>
        <w:overflowPunct/>
        <w:topLinePunct w:val="0"/>
        <w:autoSpaceDE/>
        <w:autoSpaceDN/>
        <w:bidi w:val="0"/>
        <w:adjustRightInd/>
        <w:snapToGrid/>
        <w:spacing w:before="283" w:line="360" w:lineRule="auto"/>
        <w:ind w:firstLine="640" w:firstLineChars="200"/>
        <w:textAlignment w:val="auto"/>
        <w:rPr>
          <w:rFonts w:hint="eastAsia" w:ascii="仿宋" w:hAnsi="仿宋" w:eastAsia="仿宋" w:cs="仿宋"/>
        </w:rPr>
      </w:pPr>
      <w:r>
        <w:rPr>
          <w:rFonts w:hint="eastAsia" w:ascii="仿宋" w:hAnsi="仿宋" w:eastAsia="仿宋" w:cs="仿宋"/>
        </w:rPr>
        <w:t>201</w:t>
      </w:r>
      <w:r>
        <w:rPr>
          <w:rFonts w:hint="eastAsia" w:ascii="仿宋" w:hAnsi="仿宋" w:eastAsia="仿宋" w:cs="仿宋"/>
          <w:lang w:val="en-US" w:eastAsia="zh-CN"/>
        </w:rPr>
        <w:t>9</w:t>
      </w:r>
      <w:r>
        <w:rPr>
          <w:rFonts w:hint="eastAsia" w:ascii="仿宋" w:hAnsi="仿宋" w:eastAsia="仿宋" w:cs="仿宋"/>
        </w:rPr>
        <w:t>年度政府性基金预算财政拨款支出年初预算为</w:t>
      </w:r>
      <w:r>
        <w:rPr>
          <w:rFonts w:hint="eastAsia" w:ascii="仿宋" w:hAnsi="仿宋" w:eastAsia="仿宋" w:cs="仿宋"/>
          <w:lang w:val="en-US" w:eastAsia="zh-CN"/>
        </w:rPr>
        <w:t>12523</w:t>
      </w:r>
      <w:r>
        <w:rPr>
          <w:rFonts w:hint="eastAsia" w:ascii="仿宋" w:hAnsi="仿宋" w:eastAsia="仿宋" w:cs="仿宋"/>
        </w:rPr>
        <w:t>万元</w:t>
      </w:r>
      <w:r>
        <w:rPr>
          <w:rFonts w:hint="eastAsia" w:ascii="仿宋" w:hAnsi="仿宋" w:eastAsia="仿宋" w:cs="仿宋"/>
          <w:spacing w:val="-48"/>
        </w:rPr>
        <w:t>，</w:t>
      </w:r>
      <w:r>
        <w:rPr>
          <w:rFonts w:hint="eastAsia" w:ascii="仿宋" w:hAnsi="仿宋" w:eastAsia="仿宋" w:cs="仿宋"/>
        </w:rPr>
        <w:t>支出决算为</w:t>
      </w:r>
      <w:r>
        <w:rPr>
          <w:rFonts w:hint="eastAsia" w:ascii="仿宋" w:hAnsi="仿宋" w:eastAsia="仿宋" w:cs="仿宋"/>
          <w:spacing w:val="-2"/>
          <w:lang w:val="en-US" w:eastAsia="zh-CN"/>
        </w:rPr>
        <w:t>12523</w:t>
      </w:r>
      <w:r>
        <w:rPr>
          <w:rFonts w:hint="eastAsia" w:ascii="仿宋" w:hAnsi="仿宋" w:eastAsia="仿宋" w:cs="仿宋"/>
          <w:spacing w:val="-83"/>
        </w:rPr>
        <w:t xml:space="preserve"> </w:t>
      </w:r>
      <w:r>
        <w:rPr>
          <w:rFonts w:hint="eastAsia" w:ascii="仿宋" w:hAnsi="仿宋" w:eastAsia="仿宋" w:cs="仿宋"/>
        </w:rPr>
        <w:t>万元</w:t>
      </w:r>
      <w:r>
        <w:rPr>
          <w:rFonts w:hint="eastAsia" w:ascii="仿宋" w:hAnsi="仿宋" w:eastAsia="仿宋" w:cs="仿宋"/>
          <w:spacing w:val="-46"/>
        </w:rPr>
        <w:t>，</w:t>
      </w:r>
      <w:r>
        <w:rPr>
          <w:rFonts w:hint="eastAsia" w:ascii="仿宋" w:hAnsi="仿宋" w:eastAsia="仿宋" w:cs="仿宋"/>
        </w:rPr>
        <w:t>完成年初预算的</w:t>
      </w:r>
      <w:r>
        <w:rPr>
          <w:rFonts w:hint="eastAsia" w:ascii="仿宋" w:hAnsi="仿宋" w:eastAsia="仿宋" w:cs="仿宋"/>
          <w:lang w:val="en-US" w:eastAsia="zh-CN"/>
        </w:rPr>
        <w:t>100%</w:t>
      </w:r>
      <w:r>
        <w:rPr>
          <w:rFonts w:hint="eastAsia" w:ascii="仿宋" w:hAnsi="仿宋" w:eastAsia="仿宋" w:cs="仿宋"/>
          <w:spacing w:val="-81"/>
        </w:rPr>
        <w:t xml:space="preserve"> </w:t>
      </w:r>
      <w:r>
        <w:rPr>
          <w:rFonts w:hint="eastAsia" w:ascii="仿宋" w:hAnsi="仿宋" w:eastAsia="仿宋" w:cs="仿宋"/>
        </w:rPr>
        <w:t>。</w:t>
      </w:r>
    </w:p>
    <w:p>
      <w:pPr>
        <w:pStyle w:val="3"/>
        <w:keepNext w:val="0"/>
        <w:keepLines w:val="0"/>
        <w:pageBreakBefore w:val="0"/>
        <w:widowControl/>
        <w:kinsoku/>
        <w:wordWrap/>
        <w:overflowPunct/>
        <w:topLinePunct w:val="0"/>
        <w:autoSpaceDN/>
        <w:bidi w:val="0"/>
        <w:spacing w:before="204"/>
        <w:ind w:firstLine="964" w:firstLineChars="300"/>
        <w:textAlignment w:val="auto"/>
        <w:rPr>
          <w:rFonts w:hint="eastAsia" w:ascii="仿宋" w:hAnsi="仿宋" w:eastAsia="仿宋" w:cs="仿宋"/>
          <w:b/>
          <w:bCs/>
        </w:rPr>
      </w:pPr>
      <w:r>
        <w:rPr>
          <w:rFonts w:hint="eastAsia" w:ascii="仿宋" w:hAnsi="仿宋" w:eastAsia="仿宋" w:cs="仿宋"/>
          <w:b/>
          <w:bCs/>
        </w:rPr>
        <w:t>十、机关运行经费支出情况说明</w:t>
      </w:r>
    </w:p>
    <w:p>
      <w:pPr>
        <w:pStyle w:val="3"/>
        <w:keepNext w:val="0"/>
        <w:keepLines w:val="0"/>
        <w:pageBreakBefore w:val="0"/>
        <w:widowControl/>
        <w:kinsoku/>
        <w:wordWrap/>
        <w:overflowPunct/>
        <w:topLinePunct w:val="0"/>
        <w:autoSpaceDN/>
        <w:bidi w:val="0"/>
        <w:textAlignment w:val="auto"/>
        <w:rPr>
          <w:rFonts w:hint="eastAsia" w:ascii="仿宋" w:hAnsi="仿宋" w:eastAsia="仿宋" w:cs="仿宋"/>
          <w:b/>
          <w:bCs/>
          <w:sz w:val="30"/>
        </w:rPr>
      </w:pPr>
    </w:p>
    <w:p>
      <w:pPr>
        <w:pStyle w:val="3"/>
        <w:keepNext w:val="0"/>
        <w:keepLines w:val="0"/>
        <w:pageBreakBefore w:val="0"/>
        <w:widowControl/>
        <w:kinsoku/>
        <w:wordWrap/>
        <w:overflowPunct/>
        <w:topLinePunct w:val="0"/>
        <w:autoSpaceDE/>
        <w:autoSpaceDN/>
        <w:bidi w:val="0"/>
        <w:adjustRightInd/>
        <w:snapToGrid/>
        <w:spacing w:line="360" w:lineRule="auto"/>
        <w:ind w:left="317" w:right="595" w:firstLine="641"/>
        <w:jc w:val="both"/>
        <w:textAlignment w:val="auto"/>
        <w:rPr>
          <w:rFonts w:hint="eastAsia" w:ascii="仿宋" w:hAnsi="仿宋" w:eastAsia="仿宋" w:cs="仿宋"/>
          <w:lang w:val="en-US" w:eastAsia="zh-CN"/>
        </w:rPr>
      </w:pPr>
      <w:r>
        <w:rPr>
          <w:rFonts w:hint="eastAsia" w:ascii="仿宋" w:hAnsi="仿宋" w:eastAsia="仿宋" w:cs="仿宋"/>
        </w:rPr>
        <w:t>201</w:t>
      </w:r>
      <w:r>
        <w:rPr>
          <w:rFonts w:hint="eastAsia" w:ascii="仿宋" w:hAnsi="仿宋" w:eastAsia="仿宋" w:cs="仿宋"/>
          <w:lang w:val="en-US" w:eastAsia="zh-CN"/>
        </w:rPr>
        <w:t>9</w:t>
      </w:r>
      <w:r>
        <w:rPr>
          <w:rFonts w:hint="eastAsia" w:ascii="仿宋" w:hAnsi="仿宋" w:eastAsia="仿宋" w:cs="仿宋"/>
          <w:spacing w:val="-4"/>
        </w:rPr>
        <w:t>年度机关运行经</w:t>
      </w:r>
      <w:r>
        <w:rPr>
          <w:rFonts w:hint="eastAsia" w:ascii="仿宋" w:hAnsi="仿宋" w:eastAsia="仿宋" w:cs="仿宋"/>
          <w:spacing w:val="-4"/>
          <w:lang w:val="en-US" w:eastAsia="zh-CN"/>
        </w:rPr>
        <w:t>费年初预算为</w:t>
      </w:r>
      <w:r>
        <w:rPr>
          <w:rFonts w:hint="eastAsia" w:ascii="仿宋" w:hAnsi="仿宋" w:eastAsia="仿宋" w:cs="仿宋"/>
          <w:lang w:val="en-US" w:eastAsia="zh-CN"/>
        </w:rPr>
        <w:t>954.47</w:t>
      </w:r>
      <w:r>
        <w:rPr>
          <w:rFonts w:hint="eastAsia" w:ascii="仿宋" w:hAnsi="仿宋" w:eastAsia="仿宋" w:cs="仿宋"/>
          <w:spacing w:val="-4"/>
        </w:rPr>
        <w:t>万元，</w:t>
      </w:r>
      <w:r>
        <w:rPr>
          <w:rFonts w:hint="eastAsia" w:ascii="仿宋" w:hAnsi="仿宋" w:eastAsia="仿宋" w:cs="仿宋"/>
          <w:spacing w:val="-4"/>
          <w:lang w:val="en-US" w:eastAsia="zh-CN"/>
        </w:rPr>
        <w:t>支出决算为954.47万元</w:t>
      </w:r>
      <w:r>
        <w:rPr>
          <w:rFonts w:hint="eastAsia" w:ascii="仿宋" w:hAnsi="仿宋" w:eastAsia="仿宋" w:cs="仿宋"/>
          <w:lang w:val="en-US" w:eastAsia="zh-CN"/>
        </w:rPr>
        <w:t>，完成年初预算的100％。</w:t>
      </w:r>
    </w:p>
    <w:p>
      <w:pPr>
        <w:pStyle w:val="3"/>
        <w:keepNext w:val="0"/>
        <w:keepLines w:val="0"/>
        <w:pageBreakBefore w:val="0"/>
        <w:widowControl/>
        <w:kinsoku/>
        <w:wordWrap/>
        <w:overflowPunct/>
        <w:topLinePunct w:val="0"/>
        <w:autoSpaceDN/>
        <w:bidi w:val="0"/>
        <w:spacing w:line="338" w:lineRule="exact"/>
        <w:ind w:left="960"/>
        <w:textAlignment w:val="auto"/>
        <w:rPr>
          <w:rFonts w:hint="eastAsia" w:ascii="仿宋" w:hAnsi="仿宋" w:eastAsia="仿宋" w:cs="仿宋"/>
          <w:b/>
          <w:bCs/>
        </w:rPr>
      </w:pPr>
      <w:r>
        <w:rPr>
          <w:rFonts w:hint="eastAsia" w:ascii="仿宋" w:hAnsi="仿宋" w:eastAsia="仿宋" w:cs="仿宋"/>
          <w:b/>
          <w:bCs/>
        </w:rPr>
        <w:t>十一、政府采购支出情况说明</w:t>
      </w:r>
    </w:p>
    <w:p>
      <w:pPr>
        <w:pStyle w:val="3"/>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2019年度政府性基金预算财政拨款支出年初预算为0万元，支出决算为0万元，完成年初预算的100%。主要原因：我部门2019年度没有政府性基金收入，也没有使用政府性基</w:t>
      </w:r>
      <w:bookmarkStart w:id="1" w:name="_GoBack"/>
      <w:bookmarkEnd w:id="1"/>
      <w:r>
        <w:rPr>
          <w:rFonts w:hint="eastAsia" w:ascii="仿宋" w:hAnsi="仿宋" w:eastAsia="仿宋" w:cs="仿宋"/>
          <w:color w:val="auto"/>
          <w:sz w:val="32"/>
          <w:szCs w:val="32"/>
          <w:highlight w:val="none"/>
          <w:lang w:val="en-US" w:eastAsia="zh-CN"/>
        </w:rPr>
        <w:t>金安排的支出。</w:t>
      </w:r>
    </w:p>
    <w:p>
      <w:pPr>
        <w:pStyle w:val="3"/>
        <w:keepNext w:val="0"/>
        <w:keepLines w:val="0"/>
        <w:pageBreakBefore w:val="0"/>
        <w:widowControl/>
        <w:kinsoku/>
        <w:wordWrap/>
        <w:overflowPunct/>
        <w:topLinePunct w:val="0"/>
        <w:autoSpaceDN/>
        <w:bidi w:val="0"/>
        <w:spacing w:line="340" w:lineRule="exact"/>
        <w:ind w:left="960"/>
        <w:textAlignment w:val="auto"/>
        <w:rPr>
          <w:rFonts w:hint="eastAsia" w:ascii="仿宋" w:hAnsi="仿宋" w:eastAsia="仿宋" w:cs="仿宋"/>
          <w:b/>
          <w:bCs/>
        </w:rPr>
      </w:pPr>
      <w:r>
        <w:rPr>
          <w:rFonts w:hint="eastAsia" w:ascii="仿宋" w:hAnsi="仿宋" w:eastAsia="仿宋" w:cs="仿宋"/>
          <w:b/>
          <w:bCs/>
        </w:rPr>
        <w:t>十二、国有资产占用情况说明</w:t>
      </w:r>
    </w:p>
    <w:p>
      <w:pPr>
        <w:pStyle w:val="3"/>
        <w:keepNext w:val="0"/>
        <w:keepLines w:val="0"/>
        <w:pageBreakBefore w:val="0"/>
        <w:widowControl/>
        <w:kinsoku/>
        <w:wordWrap/>
        <w:overflowPunct/>
        <w:topLinePunct w:val="0"/>
        <w:autoSpaceDN/>
        <w:bidi w:val="0"/>
        <w:spacing w:before="5"/>
        <w:textAlignment w:val="auto"/>
        <w:rPr>
          <w:rFonts w:hint="eastAsia" w:ascii="仿宋" w:hAnsi="仿宋" w:eastAsia="仿宋" w:cs="仿宋"/>
          <w:b/>
          <w:bCs/>
          <w:sz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2019年期末，我部门共有车辆1辆，其中：省级领导干部用车0辆、主要领导干部用车0辆、机要通信用车0辆、应急保障车0辆、执法执勤用车0辆、特种专业技术用车0辆、离退休干部用车0辆、其他用车1辆；单位价值50万元以上通用设备0台（套），单位价值100万元以上专用设备0台（套）。</w:t>
      </w:r>
    </w:p>
    <w:p>
      <w:pPr>
        <w:pStyle w:val="2"/>
        <w:tabs>
          <w:tab w:val="left" w:pos="4980"/>
        </w:tabs>
        <w:spacing w:before="188"/>
        <w:ind w:left="0" w:leftChars="0" w:firstLine="0" w:firstLineChars="0"/>
        <w:jc w:val="center"/>
      </w:pPr>
    </w:p>
    <w:p>
      <w:pPr>
        <w:pStyle w:val="2"/>
        <w:tabs>
          <w:tab w:val="left" w:pos="4980"/>
        </w:tabs>
        <w:spacing w:before="188"/>
        <w:ind w:left="0" w:leftChars="0" w:firstLine="0" w:firstLineChars="0"/>
        <w:jc w:val="center"/>
      </w:pPr>
    </w:p>
    <w:p>
      <w:pPr>
        <w:pStyle w:val="2"/>
        <w:tabs>
          <w:tab w:val="left" w:pos="4980"/>
        </w:tabs>
        <w:spacing w:before="188"/>
        <w:ind w:left="0" w:leftChars="0" w:firstLine="0" w:firstLineChars="0"/>
        <w:jc w:val="center"/>
      </w:pPr>
    </w:p>
    <w:p>
      <w:pPr>
        <w:pStyle w:val="2"/>
        <w:tabs>
          <w:tab w:val="left" w:pos="4980"/>
        </w:tabs>
        <w:spacing w:before="188"/>
        <w:ind w:left="0" w:leftChars="0" w:firstLine="0" w:firstLineChars="0"/>
        <w:jc w:val="center"/>
      </w:pPr>
    </w:p>
    <w:p>
      <w:pPr>
        <w:pStyle w:val="2"/>
        <w:tabs>
          <w:tab w:val="left" w:pos="4980"/>
        </w:tabs>
        <w:spacing w:before="188"/>
        <w:ind w:left="0" w:leftChars="0" w:firstLine="0" w:firstLineChars="0"/>
        <w:jc w:val="center"/>
      </w:pPr>
    </w:p>
    <w:p>
      <w:pPr>
        <w:pStyle w:val="2"/>
        <w:tabs>
          <w:tab w:val="left" w:pos="4980"/>
        </w:tabs>
        <w:spacing w:before="188"/>
        <w:ind w:left="0" w:leftChars="0" w:firstLine="0" w:firstLineChars="0"/>
        <w:jc w:val="center"/>
      </w:pPr>
    </w:p>
    <w:p>
      <w:pPr>
        <w:pStyle w:val="2"/>
        <w:tabs>
          <w:tab w:val="left" w:pos="4980"/>
        </w:tabs>
        <w:spacing w:before="188"/>
        <w:ind w:left="0" w:leftChars="0" w:firstLine="0" w:firstLineChars="0"/>
        <w:jc w:val="center"/>
      </w:pPr>
    </w:p>
    <w:p>
      <w:pPr>
        <w:pStyle w:val="2"/>
        <w:tabs>
          <w:tab w:val="left" w:pos="4980"/>
        </w:tabs>
        <w:spacing w:before="188"/>
        <w:ind w:left="0" w:leftChars="0" w:firstLine="0" w:firstLineChars="0"/>
        <w:jc w:val="center"/>
      </w:pPr>
    </w:p>
    <w:p>
      <w:pPr>
        <w:pStyle w:val="2"/>
        <w:tabs>
          <w:tab w:val="left" w:pos="4980"/>
        </w:tabs>
        <w:spacing w:before="188"/>
        <w:ind w:left="0" w:leftChars="0" w:firstLine="0" w:firstLineChars="0"/>
        <w:jc w:val="center"/>
      </w:pPr>
    </w:p>
    <w:p>
      <w:pPr>
        <w:pStyle w:val="2"/>
        <w:tabs>
          <w:tab w:val="left" w:pos="4980"/>
        </w:tabs>
        <w:spacing w:before="188"/>
        <w:ind w:left="0" w:leftChars="0" w:firstLine="0" w:firstLineChars="0"/>
        <w:jc w:val="center"/>
      </w:pPr>
    </w:p>
    <w:p>
      <w:pPr>
        <w:pStyle w:val="2"/>
        <w:tabs>
          <w:tab w:val="left" w:pos="4980"/>
        </w:tabs>
        <w:spacing w:before="188"/>
        <w:ind w:left="0" w:leftChars="0" w:firstLine="0" w:firstLineChars="0"/>
        <w:jc w:val="center"/>
      </w:pPr>
    </w:p>
    <w:p>
      <w:pPr>
        <w:pStyle w:val="2"/>
        <w:tabs>
          <w:tab w:val="left" w:pos="4980"/>
        </w:tabs>
        <w:spacing w:before="188"/>
        <w:ind w:left="0" w:leftChars="0" w:firstLine="0" w:firstLineChars="0"/>
        <w:jc w:val="center"/>
      </w:pPr>
    </w:p>
    <w:p>
      <w:pPr>
        <w:pStyle w:val="2"/>
        <w:tabs>
          <w:tab w:val="left" w:pos="4980"/>
        </w:tabs>
        <w:spacing w:before="188"/>
        <w:ind w:left="0" w:leftChars="0" w:firstLine="0" w:firstLineChars="0"/>
        <w:jc w:val="center"/>
      </w:pPr>
    </w:p>
    <w:p>
      <w:pPr>
        <w:pStyle w:val="2"/>
        <w:tabs>
          <w:tab w:val="left" w:pos="4980"/>
        </w:tabs>
        <w:spacing w:before="188"/>
        <w:ind w:left="0" w:leftChars="0" w:firstLine="0" w:firstLineChars="0"/>
        <w:jc w:val="center"/>
      </w:pPr>
    </w:p>
    <w:p>
      <w:pPr>
        <w:pStyle w:val="2"/>
        <w:tabs>
          <w:tab w:val="left" w:pos="4980"/>
        </w:tabs>
        <w:spacing w:before="188"/>
        <w:ind w:left="0" w:leftChars="0" w:firstLine="0" w:firstLineChars="0"/>
        <w:jc w:val="center"/>
      </w:pPr>
      <w:r>
        <w:t>第四部分</w:t>
      </w:r>
      <w:r>
        <w:rPr>
          <w:rFonts w:hint="eastAsia"/>
          <w:lang w:val="en-US" w:eastAsia="zh-CN"/>
        </w:rPr>
        <w:t xml:space="preserve">  </w:t>
      </w:r>
      <w:r>
        <w:t>名词解释</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
    <w:p>
      <w:pPr>
        <w:pStyle w:val="3"/>
        <w:spacing w:before="226" w:line="345" w:lineRule="auto"/>
        <w:ind w:right="273" w:firstLine="298" w:firstLineChars="100"/>
      </w:pPr>
      <w:r>
        <w:rPr>
          <w:spacing w:val="-11"/>
        </w:rPr>
        <w:t>一、财政拨款收入：单位从同级政府财政部门取得的各类财政拨款。</w:t>
      </w:r>
    </w:p>
    <w:p>
      <w:pPr>
        <w:pStyle w:val="3"/>
        <w:spacing w:line="343" w:lineRule="auto"/>
        <w:ind w:left="108" w:right="275" w:firstLine="638"/>
      </w:pPr>
      <w:r>
        <w:rPr>
          <w:spacing w:val="-11"/>
        </w:rPr>
        <w:t>二、事业收入：事业单位开展专业业务活动及其辅助活动取得的收入。</w:t>
      </w:r>
    </w:p>
    <w:p>
      <w:pPr>
        <w:pStyle w:val="3"/>
        <w:spacing w:before="6" w:line="345" w:lineRule="auto"/>
        <w:ind w:left="108" w:right="273" w:firstLine="638"/>
      </w:pPr>
      <w:r>
        <w:rPr>
          <w:spacing w:val="-11"/>
        </w:rPr>
        <w:t>三、上级补助收入：事业单位从主管部门和上级单位取得的非财政补助收入。</w:t>
      </w:r>
    </w:p>
    <w:p>
      <w:pPr>
        <w:pStyle w:val="3"/>
        <w:spacing w:line="345" w:lineRule="auto"/>
        <w:ind w:left="108" w:right="271" w:firstLine="638"/>
      </w:pPr>
      <w:r>
        <w:rPr>
          <w:spacing w:val="-12"/>
        </w:rPr>
        <w:t>四、附属单位上缴收入：事业单位取得附属独立核算单位根据有关规定上缴的收入。</w:t>
      </w:r>
    </w:p>
    <w:p>
      <w:pPr>
        <w:pStyle w:val="3"/>
        <w:spacing w:line="343" w:lineRule="auto"/>
        <w:ind w:left="108" w:right="275" w:firstLine="638"/>
      </w:pPr>
      <w:r>
        <w:rPr>
          <w:spacing w:val="-11"/>
        </w:rPr>
        <w:t>五、经营收入：事业单位在专业业务活动及其辅助活动之外开展非独立核算经营活动取得的收入。</w:t>
      </w:r>
    </w:p>
    <w:p>
      <w:pPr>
        <w:pStyle w:val="3"/>
        <w:spacing w:before="6" w:line="345" w:lineRule="auto"/>
        <w:ind w:left="108" w:right="114" w:firstLine="638"/>
      </w:pPr>
      <w:r>
        <w:rPr>
          <w:spacing w:val="-11"/>
        </w:rPr>
        <w:t>六、其他收入：单位取得的除“财政拨款收入”、“事业收</w:t>
      </w:r>
      <w:r>
        <w:rPr>
          <w:spacing w:val="-18"/>
          <w:w w:val="95"/>
        </w:rPr>
        <w:t xml:space="preserve">入”、“上级补助收入”、“附属单位上缴收入”、“经营收入” </w:t>
      </w:r>
      <w:r>
        <w:rPr>
          <w:spacing w:val="-18"/>
        </w:rPr>
        <w:t>等以外的收入。</w:t>
      </w:r>
    </w:p>
    <w:p>
      <w:pPr>
        <w:pStyle w:val="3"/>
        <w:spacing w:line="345" w:lineRule="auto"/>
        <w:ind w:left="108" w:right="271" w:firstLine="638"/>
        <w:jc w:val="both"/>
      </w:pPr>
      <w:r>
        <w:rPr>
          <w:spacing w:val="-12"/>
        </w:rPr>
        <w:t>七、用事业基金弥补收支差额：事业单位在当年收入不足以</w:t>
      </w:r>
      <w:r>
        <w:rPr>
          <w:spacing w:val="-16"/>
        </w:rPr>
        <w:t>安排当年支出的情况下，使用以前年度积累的事业基金</w:t>
      </w:r>
      <w:r>
        <w:t>（事业单</w:t>
      </w:r>
      <w:r>
        <w:rPr>
          <w:spacing w:val="-8"/>
        </w:rPr>
        <w:t>位当年收支相抵后按国家规定提取、用于弥补以后年度收支差额的基金）弥补当年收支缺口的资金。</w:t>
      </w:r>
    </w:p>
    <w:p>
      <w:pPr>
        <w:pStyle w:val="3"/>
        <w:spacing w:line="345" w:lineRule="auto"/>
        <w:ind w:left="108" w:right="271" w:firstLine="638"/>
      </w:pPr>
      <w:r>
        <w:rPr>
          <w:spacing w:val="-12"/>
        </w:rPr>
        <w:t>八、基本支出：为保障机构正常运转、完成日常工作任务而发生的人员支出和公用支出。</w:t>
      </w:r>
    </w:p>
    <w:p>
      <w:pPr>
        <w:pStyle w:val="3"/>
        <w:spacing w:line="345" w:lineRule="auto"/>
        <w:ind w:left="108" w:right="275" w:firstLine="638"/>
        <w:rPr>
          <w:spacing w:val="-11"/>
        </w:rPr>
      </w:pPr>
      <w:r>
        <w:rPr>
          <w:spacing w:val="-11"/>
        </w:rPr>
        <w:t>九、项目支出：基本支出之外为完成特定行政任务和事业发展目标所发生的支出。</w:t>
      </w:r>
    </w:p>
    <w:p>
      <w:pPr>
        <w:pStyle w:val="3"/>
        <w:spacing w:line="345" w:lineRule="auto"/>
        <w:ind w:left="108" w:right="275" w:firstLine="638"/>
      </w:pPr>
      <w:r>
        <w:rPr>
          <w:spacing w:val="-19"/>
          <w:w w:val="95"/>
        </w:rPr>
        <w:t xml:space="preserve">十、“三公”经费：纳入同级财政预决算管理“三公”经费， </w:t>
      </w:r>
      <w:r>
        <w:rPr>
          <w:spacing w:val="-21"/>
        </w:rPr>
        <w:t>指部门使用财政拨款安排的因公出国</w:t>
      </w:r>
      <w:r>
        <w:t>（境</w:t>
      </w:r>
      <w:r>
        <w:rPr>
          <w:spacing w:val="-39"/>
        </w:rPr>
        <w:t>）</w:t>
      </w:r>
      <w:r>
        <w:rPr>
          <w:spacing w:val="-7"/>
        </w:rPr>
        <w:t>费、公务用车购置及</w:t>
      </w:r>
      <w:r>
        <w:rPr>
          <w:spacing w:val="-13"/>
        </w:rPr>
        <w:t>运行费和公务接待费。其中，因公出国</w:t>
      </w:r>
      <w:r>
        <w:t>（境</w:t>
      </w:r>
      <w:r>
        <w:rPr>
          <w:spacing w:val="-29"/>
        </w:rPr>
        <w:t>）</w:t>
      </w:r>
      <w:r>
        <w:t>费反映单位公务出</w:t>
      </w:r>
      <w:r>
        <w:rPr>
          <w:spacing w:val="-19"/>
        </w:rPr>
        <w:t>国</w:t>
      </w:r>
      <w:r>
        <w:t>（境</w:t>
      </w:r>
      <w:r>
        <w:rPr>
          <w:spacing w:val="-17"/>
        </w:rPr>
        <w:t>）</w:t>
      </w:r>
      <w:r>
        <w:rPr>
          <w:spacing w:val="-7"/>
        </w:rPr>
        <w:t>的国际旅费、国外城市间交通费、住宿费、伙食费、培</w:t>
      </w:r>
      <w:r>
        <w:rPr>
          <w:spacing w:val="-12"/>
        </w:rPr>
        <w:t>训费、公杂费等支出；公务用车购置及运行费反映反映单位公务</w:t>
      </w:r>
      <w:r>
        <w:rPr>
          <w:spacing w:val="-19"/>
          <w:w w:val="95"/>
        </w:rPr>
        <w:t>用车车辆购置支出</w:t>
      </w:r>
      <w:r>
        <w:rPr>
          <w:w w:val="95"/>
        </w:rPr>
        <w:t>（含车辆购置税</w:t>
      </w:r>
      <w:r>
        <w:rPr>
          <w:spacing w:val="-70"/>
          <w:w w:val="95"/>
        </w:rPr>
        <w:t>）</w:t>
      </w:r>
      <w:r>
        <w:rPr>
          <w:spacing w:val="-13"/>
          <w:w w:val="95"/>
        </w:rPr>
        <w:t xml:space="preserve">及租用费、燃料费、维修费、 </w:t>
      </w:r>
      <w:r>
        <w:rPr>
          <w:spacing w:val="-15"/>
        </w:rPr>
        <w:t>过路过桥费、保险费、安全奖励费用等支出；公务接待费反映单位按规定开支的各类公务接待（含外宾接待）支出。</w:t>
      </w:r>
    </w:p>
    <w:p>
      <w:pPr>
        <w:pStyle w:val="3"/>
        <w:spacing w:line="345" w:lineRule="auto"/>
        <w:ind w:left="108" w:right="156" w:firstLine="638"/>
      </w:pPr>
      <w:r>
        <w:rPr>
          <w:spacing w:val="-12"/>
        </w:rPr>
        <w:t>十一、机关运行经费：为保障行政单位</w:t>
      </w:r>
      <w:r>
        <w:t>（含参照公务员法管理的事业单位</w:t>
      </w:r>
      <w:r>
        <w:rPr>
          <w:spacing w:val="-58"/>
        </w:rPr>
        <w:t>）</w:t>
      </w:r>
      <w:r>
        <w:rPr>
          <w:spacing w:val="-4"/>
        </w:rPr>
        <w:t>运行用于购买货物和服务的各项资金，包括办公</w:t>
      </w:r>
      <w:r>
        <w:rPr>
          <w:spacing w:val="-12"/>
        </w:rPr>
        <w:t>及印刷费、邮电费、差旅费、会议费、福利费、日常维修费、专用材料及一般设备购置费、办公用房水电费、办公用房取暖费、办公用房物业管理费、公务用车运行维护费以及其他费用。</w:t>
      </w:r>
    </w:p>
    <w:p>
      <w:pPr>
        <w:pStyle w:val="3"/>
        <w:spacing w:line="345" w:lineRule="auto"/>
        <w:ind w:left="108" w:right="273" w:firstLine="638"/>
        <w:jc w:val="both"/>
      </w:pPr>
      <w:r>
        <w:rPr>
          <w:spacing w:val="-11"/>
        </w:rPr>
        <w:t>十二、工资福利支出：单位支付给在职职工和编制外长期聘</w:t>
      </w:r>
      <w:r>
        <w:rPr>
          <w:spacing w:val="-16"/>
          <w:w w:val="95"/>
        </w:rPr>
        <w:t xml:space="preserve">用人员的各类劳动报酬，以及为上述人员缴纳的各项社会保险费 </w:t>
      </w:r>
      <w:r>
        <w:rPr>
          <w:spacing w:val="-16"/>
        </w:rPr>
        <w:t>等。</w:t>
      </w:r>
    </w:p>
    <w:p>
      <w:pPr>
        <w:pStyle w:val="3"/>
        <w:spacing w:line="404" w:lineRule="exact"/>
        <w:ind w:left="747"/>
      </w:pPr>
      <w:r>
        <w:t>十三、商品和服务支出：单位购买商品和服务的支出。</w:t>
      </w:r>
    </w:p>
    <w:p>
      <w:pPr>
        <w:pStyle w:val="3"/>
        <w:spacing w:before="180" w:line="345" w:lineRule="auto"/>
        <w:ind w:left="108" w:right="273" w:firstLine="638"/>
        <w:jc w:val="both"/>
      </w:pPr>
      <w:r>
        <w:rPr>
          <w:spacing w:val="-12"/>
        </w:rPr>
        <w:t>十四、对个人和家庭的补助支出：单位用于对个人和家庭的补助支出。</w:t>
      </w:r>
    </w:p>
    <w:p>
      <w:pPr>
        <w:pStyle w:val="3"/>
        <w:spacing w:line="345" w:lineRule="auto"/>
        <w:ind w:left="108" w:right="271" w:firstLine="638"/>
        <w:jc w:val="both"/>
        <w:rPr>
          <w:spacing w:val="-16"/>
        </w:rPr>
      </w:pPr>
      <w:r>
        <w:rPr>
          <w:spacing w:val="-11"/>
        </w:rPr>
        <w:t>十五、年末结转：本年度或以前年度预算安排，已执行但尚</w:t>
      </w:r>
      <w:r>
        <w:rPr>
          <w:spacing w:val="-16"/>
        </w:rPr>
        <w:t>未完成或因客观条件发生变化无法按原计划实施，需延迟到以后年度按有关规定继续使用的资金。</w:t>
      </w:r>
    </w:p>
    <w:p>
      <w:pPr>
        <w:pStyle w:val="3"/>
        <w:spacing w:line="345" w:lineRule="auto"/>
        <w:ind w:left="108" w:right="271" w:firstLine="638"/>
        <w:jc w:val="both"/>
        <w:rPr>
          <w:rFonts w:hint="eastAsia" w:eastAsia="宋体"/>
          <w:spacing w:val="-16"/>
          <w:lang w:eastAsia="zh-CN"/>
        </w:rPr>
        <w:sectPr>
          <w:pgSz w:w="11910" w:h="16840"/>
          <w:pgMar w:top="1580" w:right="1200" w:bottom="280" w:left="1480" w:header="720" w:footer="720" w:gutter="0"/>
          <w:pgNumType w:fmt="decimal"/>
          <w:cols w:space="720" w:num="1"/>
        </w:sectPr>
      </w:pPr>
      <w:r>
        <w:rPr>
          <w:spacing w:val="-11"/>
          <w:w w:val="95"/>
        </w:rPr>
        <w:t xml:space="preserve">十六、年末结余：本年度或以前年度预算安排，已执行完毕 </w:t>
      </w:r>
      <w:r>
        <w:rPr>
          <w:spacing w:val="-16"/>
          <w:w w:val="95"/>
        </w:rPr>
        <w:t xml:space="preserve">或因客观条件发生变化无法按原预算安排实施，不需要再使用或 </w:t>
      </w:r>
      <w:r>
        <w:rPr>
          <w:spacing w:val="-16"/>
        </w:rPr>
        <w:t>无法按原预算安排继续使用的资金</w:t>
      </w:r>
      <w:r>
        <w:rPr>
          <w:rFonts w:hint="eastAsia"/>
          <w:spacing w:val="-16"/>
          <w:lang w:eastAsia="zh-CN"/>
        </w:rPr>
        <w:t>。</w:t>
      </w: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2DA00"/>
    <w:multiLevelType w:val="singleLevel"/>
    <w:tmpl w:val="24B2DA00"/>
    <w:lvl w:ilvl="0" w:tentative="0">
      <w:start w:val="1"/>
      <w:numFmt w:val="decimal"/>
      <w:suff w:val="nothing"/>
      <w:lvlText w:val="%1．"/>
      <w:lvlJc w:val="left"/>
    </w:lvl>
  </w:abstractNum>
  <w:abstractNum w:abstractNumId="1">
    <w:nsid w:val="39489D8C"/>
    <w:multiLevelType w:val="singleLevel"/>
    <w:tmpl w:val="39489D8C"/>
    <w:lvl w:ilvl="0" w:tentative="0">
      <w:start w:val="3"/>
      <w:numFmt w:val="chineseCounting"/>
      <w:lvlText w:val="第%1部分"/>
      <w:lvlJc w:val="left"/>
      <w:rPr>
        <w:rFonts w:hint="eastAsia"/>
      </w:rPr>
    </w:lvl>
  </w:abstractNum>
  <w:abstractNum w:abstractNumId="2">
    <w:nsid w:val="41E835B9"/>
    <w:multiLevelType w:val="singleLevel"/>
    <w:tmpl w:val="41E835B9"/>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9D7A7A"/>
    <w:rsid w:val="05171546"/>
    <w:rsid w:val="09ED2DCE"/>
    <w:rsid w:val="0B5A1CB4"/>
    <w:rsid w:val="0FA640DA"/>
    <w:rsid w:val="1BA33CF6"/>
    <w:rsid w:val="1CE75FB7"/>
    <w:rsid w:val="1F907CAD"/>
    <w:rsid w:val="20BE58C6"/>
    <w:rsid w:val="229D7A7A"/>
    <w:rsid w:val="232343D0"/>
    <w:rsid w:val="247042B6"/>
    <w:rsid w:val="29153743"/>
    <w:rsid w:val="2A9328AC"/>
    <w:rsid w:val="36D26A1D"/>
    <w:rsid w:val="3924768C"/>
    <w:rsid w:val="48462287"/>
    <w:rsid w:val="4920510A"/>
    <w:rsid w:val="51AA3CE1"/>
    <w:rsid w:val="545F2811"/>
    <w:rsid w:val="60AF4DA6"/>
    <w:rsid w:val="621B30A5"/>
    <w:rsid w:val="627A55B8"/>
    <w:rsid w:val="6DA052CA"/>
    <w:rsid w:val="6F6812D1"/>
    <w:rsid w:val="70631256"/>
    <w:rsid w:val="78BF6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rPr>
  </w:style>
  <w:style w:type="paragraph" w:styleId="2">
    <w:name w:val="heading 1"/>
    <w:basedOn w:val="1"/>
    <w:next w:val="1"/>
    <w:qFormat/>
    <w:uiPriority w:val="1"/>
    <w:pPr>
      <w:spacing w:before="32"/>
      <w:ind w:left="1454"/>
      <w:jc w:val="center"/>
      <w:outlineLvl w:val="1"/>
    </w:pPr>
    <w:rPr>
      <w:rFonts w:ascii="黑体" w:hAnsi="黑体" w:eastAsia="黑体" w:cs="黑体"/>
      <w:sz w:val="48"/>
      <w:szCs w:val="48"/>
      <w:lang w:val="zh-CN" w:eastAsia="zh-CN" w:bidi="zh-CN"/>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paragraph" w:styleId="9">
    <w:name w:val="List Paragraph"/>
    <w:basedOn w:val="1"/>
    <w:qFormat/>
    <w:uiPriority w:val="1"/>
    <w:pPr>
      <w:ind w:left="320" w:right="597" w:firstLine="640"/>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2020-10-27T07:08:00Z</dcterms:created>
  <dc:creator>达达与濮濮</dc:creator>
  <cp:lastModifiedBy>Administrator</cp:lastModifiedBy>
  <dcterms:modified xsi:type="dcterms:W3CDTF">2020-12-01T06:18:34Z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