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3"/>
        <w:widowControl w:val="0"/>
        <w:snapToGrid w:val="0"/>
        <w:spacing w:before="0" w:beforeAutospacing="0" w:after="0" w:afterAutospacing="0" w:line="360" w:lineRule="auto"/>
        <w:ind w:firstLine="440" w:firstLineChars="100"/>
        <w:jc w:val="both"/>
        <w:rPr>
          <w:rFonts w:hint="eastAsia" w:ascii="文星标宋" w:hAnsi="文星标宋" w:eastAsia="文星标宋" w:cs="方正小标宋简体"/>
          <w:color w:val="000000"/>
          <w:sz w:val="44"/>
          <w:szCs w:val="44"/>
        </w:rPr>
      </w:pPr>
    </w:p>
    <w:p>
      <w:pPr>
        <w:pStyle w:val="3"/>
        <w:widowControl w:val="0"/>
        <w:snapToGrid w:val="0"/>
        <w:spacing w:before="0" w:beforeAutospacing="0" w:after="0" w:afterAutospacing="0" w:line="360" w:lineRule="auto"/>
        <w:ind w:firstLine="440" w:firstLineChars="100"/>
        <w:jc w:val="both"/>
        <w:rPr>
          <w:rFonts w:hint="eastAsia" w:ascii="文星标宋" w:hAnsi="文星标宋" w:eastAsia="文星标宋" w:cs="方正小标宋简体"/>
          <w:color w:val="000000"/>
          <w:sz w:val="44"/>
          <w:szCs w:val="44"/>
        </w:rPr>
      </w:pPr>
      <w:r>
        <w:rPr>
          <w:rFonts w:hint="eastAsia" w:ascii="文星标宋" w:hAnsi="文星标宋" w:eastAsia="文星标宋" w:cs="方正小标宋简体"/>
          <w:color w:val="000000"/>
          <w:sz w:val="44"/>
          <w:szCs w:val="44"/>
        </w:rPr>
        <w:t>2021—2023年农机购置补贴实施操作要求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一、补贴范围和补贴机具</w:t>
      </w:r>
    </w:p>
    <w:p>
      <w:pPr>
        <w:adjustRightInd w:val="0"/>
        <w:snapToGrid w:val="0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围绕省委省政府三农工作部署，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在中央财政补贴范围内选择</w:t>
      </w:r>
      <w:r>
        <w:rPr>
          <w:rFonts w:eastAsia="仿宋_GB2312"/>
          <w:spacing w:val="-6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大类</w:t>
      </w:r>
      <w:r>
        <w:rPr>
          <w:rFonts w:eastAsia="仿宋_GB2312"/>
          <w:spacing w:val="-6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个小类</w:t>
      </w:r>
      <w:r>
        <w:rPr>
          <w:rFonts w:eastAsia="仿宋_GB2312"/>
          <w:spacing w:val="-6"/>
          <w:sz w:val="32"/>
          <w:szCs w:val="32"/>
        </w:rPr>
        <w:t>170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个品目机具列入我县补贴范围（详见附件</w:t>
      </w:r>
      <w:r>
        <w:rPr>
          <w:rFonts w:eastAsia="仿宋_GB2312"/>
          <w:spacing w:val="-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根据农业生产需要和资金供需实际，按照公开、公平、公正原则，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在省定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补贴范围中，选取确定本县补贴机具品目，实行补贴范围内机具敞开补贴。要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保障粮食、生猪等重要农畜产品生产、支持农业绿色发展和数字化发展所需机具的补贴需要，将更多符合条件的高端、复式、智能产品纳入补贴范围。按年度将区域内保有量明显过多、技术相对落后的机具品目剔除出补贴范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补贴机具必须是补贴范围内的产品（农机专项鉴定产品、农机新产品除外），同时还应具备以下资质之一：（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）获得农业机械试验鉴定证书（包括尚在有效期内的农业机械推广鉴定证书）；（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）获得农机强制性产品认证证书；（</w:t>
      </w: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）列入农机自愿性认证采信试点范围，获得农机自愿性产品认证证书。补贴机具须在明显位置固定标有生产企业、产品名称和型号、出厂编号、生产日期、执行标准等信息的铭牌。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二、补贴对象和补贴标准</w:t>
      </w:r>
      <w:r>
        <w:rPr>
          <w:rFonts w:hint="eastAsia" w:ascii="宋体" w:hAnsi="宋体" w:cs="宋体"/>
          <w:color w:val="000000"/>
          <w:sz w:val="32"/>
          <w:szCs w:val="32"/>
        </w:rPr>
        <w:t>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补贴对象为从事农业生产的个人和农业生产经营组织，其中农业生产经营组织包括农村集体经济组织、农民专业合作经济组织、农业企业和其他从事农业生产经营的组织。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补贴标准按《河南省</w:t>
      </w:r>
      <w:r>
        <w:rPr>
          <w:rFonts w:eastAsia="仿宋_GB2312"/>
          <w:sz w:val="32"/>
          <w:szCs w:val="32"/>
        </w:rPr>
        <w:t>2021-2023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年农机购置补贴机具补贴额一览表》执行。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补贴额将保持总体稳定，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全面公开农机购置补贴机具补贴额一览表，加强宣传，引导购机者根据各档次的补贴定额自主议价。在政策实施过程中，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发现具体产品或档次的中央财政资金实际补贴比例超过</w:t>
      </w:r>
      <w:r>
        <w:rPr>
          <w:rFonts w:eastAsia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%的，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应及时组织调查，对有违规情节的，按相关规定处理；对无违规情节的补贴申请，可按原规定兑付补贴资金，并组织对相关产品及其所属档次补贴额进行评估，视情况及时上报调整。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三、资金分配</w:t>
      </w:r>
      <w:r>
        <w:rPr>
          <w:rFonts w:ascii="黑体" w:hAnsi="黑体" w:eastAsia="黑体" w:cs="黑体"/>
          <w:color w:val="000000"/>
          <w:sz w:val="32"/>
          <w:szCs w:val="32"/>
        </w:rPr>
        <w:t>与使用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农机购置补贴支出主要用于支持购置先进适用农业机械，以及开展有关试点和农机报废更新等方面。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农机报废更新补贴按《农业农村部办公厅、财政部办公厅、商务部办公厅关于印发〈农业机械报废更新补贴实施指导意见〉的通知》（农办机〔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号）执行。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农机购置补贴属约束性任务，资金必须足额保障，不得用于其他任务支出。财政部门要保障补贴工作实施必要的组织管理经费。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四、操作流程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购置补贴政策按照“自主购机、定额补贴、先购后补、县级结算、直补到卡（户）”方式实施。购机者自主选择购买机具，按市场化原则自行与农机产销企业协商确定购机价格与支付方式，并对交易行为真实性、有效性和可能发生的纠纷承担法律责任。购机行为完成后，购机者自主向当地农机部门提出补贴资金申领事项，签署告知承诺书，承诺购买行为、发票购机价格等信息真实有效，按相关规定申办补贴。 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（一）发布实施规定。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农机、财政部门按职责分工和有关规定发布本地区农机购置补贴实施方案、操作程序、补贴额一览表、补贴机具信息表、咨询投诉举报电话等信息。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（二）受理补贴申请。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办理服务系统常年连续开放，推广使用带有人脸识别功能的手机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等信息化技术，方便购机者随时在线提交补贴申请、应录尽录，加快实现购机者线下申领补贴“最多跑一次”“最多跑一地”。农机购置补贴资金申请数量达到当年可用资金（含结转资金和调剂资金）总量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%的，应及时发布公告，停止受理补贴申请。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（三）审验公示信息。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农机部门按照《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河南省农机购置补贴机具核验工作要点（试行）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》等要求，对补贴相关申请资料进行形式审核，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对补贴机具进行核验，其中牌证管理机具凭牌证免于现场实物核验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。农机部门在收到购机者补贴申请后，应于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个工作日内做出是否受理的决定，对因资料不齐全等原因无法受理的，应注明原因，并按原渠道退回申请；对符合条件可以受理的，应于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个工作日内（不含公示时间）完成相关核验工作，并在农机购置补贴信息公开专栏实时公布补贴申请信息，公示时间为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个工作日。鼓励在乡村或补贴申请点公示栏中同时公开公示信息。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（四）兑付补贴资金。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财政部门审核农机部门提交的资金兑付申请与有关材料，于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内通过国库集中支付方式向符合要求的购机者兑付资金。严禁挤占挪用农机购置补贴资金。因资金不足或加强监管等原因需要延期兑付的，应告知购机者，并及时与同级农机部门联合向上报告资金供需情况。补贴申领原则上当年有效，因当年财政补贴资金规模不够、办理手续时间紧张等无法享受补贴的，可在下一个年度优先兑付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补贴政策全面实行跨年度连续实施，除发生违规行为或补贴资金超录外，不得以任何理由限制购机者提交补贴申请，且补贴机具资质、补贴标准和办理程序等均按购机者提交补贴申请并</w:t>
      </w:r>
      <w:r>
        <w:rPr>
          <w:rFonts w:hint="eastAsia" w:ascii="仿宋_GB2312" w:hAnsi="仿宋_GB2312" w:eastAsia="仿宋_GB2312" w:cs="仿宋_GB2312"/>
          <w:sz w:val="32"/>
          <w:szCs w:val="32"/>
        </w:rPr>
        <w:t>录入办理服务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系统时的相关规定执行，不受政策调整影响，切实稳定购机者补贴申领预期。购机者对其购置的补贴机具拥有所有权，自主使用，可依法处置，若存在争议，由县级补贴领导小组集体研究决定。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pStyle w:val="3"/>
        <w:widowControl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pStyle w:val="3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r>
        <w:rPr>
          <w:rFonts w:hint="eastAsia" w:ascii="黑体" w:hAnsi="黑体" w:eastAsia="黑体"/>
          <w:sz w:val="32"/>
          <w:szCs w:val="32"/>
          <w:lang w:bidi="ar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38FA"/>
    <w:rsid w:val="2EC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2021-12-02T03:31:00Z</dcterms:created>
  <dc:creator>-Backview</dc:creator>
  <cp:lastModifiedBy>-Backview</cp:lastModifiedBy>
  <dcterms:modified xsi:type="dcterms:W3CDTF">2021-12-02T03:32:17Z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084B5CCDA0BD4779B730CC03C4DFD865</vt:lpwstr>
  </property>
</Properties>
</file>