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60" w:lineRule="atLeast"/>
        <w:ind w:left="450" w:right="512"/>
        <w:jc w:val="center"/>
        <w:rPr>
          <w:rFonts w:ascii="Times New Roman" w:hAnsi="Times New Roman"/>
          <w:b/>
          <w:kern w:val="0"/>
          <w:sz w:val="18"/>
          <w:szCs w:val="18"/>
          <w:shd w:val="clear" w:color="auto" w:fill="FFFFFF"/>
        </w:rPr>
      </w:pPr>
    </w:p>
    <w:tbl>
      <w:tblPr>
        <w:tblStyle w:val="7"/>
        <w:tblpPr w:leftFromText="180" w:rightFromText="180" w:vertAnchor="page" w:horzAnchor="page" w:tblpX="1521" w:tblpY="1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830"/>
        <w:gridCol w:w="1212"/>
        <w:gridCol w:w="1119"/>
        <w:gridCol w:w="2595"/>
        <w:gridCol w:w="554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濮阳市顺成工程建设有限公司年产500吨钻采配件项目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濮阳市濮阳县柳屯镇焦村西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濮阳市顺成工程建设有限公司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河北可天环保科技有限公司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/>
                <w:sz w:val="24"/>
                <w:szCs w:val="24"/>
              </w:rPr>
              <w:t>总投资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万元，</w:t>
            </w:r>
            <w:r>
              <w:rPr>
                <w:rFonts w:ascii="Times New Roman" w:hAnsi="Times New Roman"/>
                <w:sz w:val="24"/>
                <w:szCs w:val="24"/>
              </w:rPr>
              <w:t>租用</w:t>
            </w:r>
            <w:r>
              <w:rPr>
                <w:rFonts w:hint="eastAsia" w:ascii="Times New Roman" w:hAnsi="Times New Roman"/>
                <w:sz w:val="24"/>
                <w:szCs w:val="24"/>
              </w:rPr>
              <w:t>濮阳县腾达钢材有限公司闲置</w:t>
            </w:r>
            <w:r>
              <w:rPr>
                <w:rFonts w:ascii="Times New Roman" w:hAnsi="Times New Roman"/>
                <w:sz w:val="24"/>
                <w:szCs w:val="24"/>
              </w:rPr>
              <w:t>厂房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总建筑面积5200m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。项目建成后年产500吨钻采配件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废气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项目产生的切割、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打磨除锈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粉尘分别经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集气设施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收集后，进入袋式除尘器处理，通过15m高排气筒排放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废水：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项目产生的生活污水进入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厂区现有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化粪池处理后，由附近村民拉走堆肥用于农田施肥，不外排。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噪声：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项目噪声主要为设备运行产生的噪声。通过隔声、减振、距离衰减后，项目场界噪声排放满足《工业企业厂界环境噪声排放标准》（GB12348-2008）中2类要求。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3333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固废：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项目产生的生活垃圾收集后由环卫部门统一处理；金属屑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及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废边角料、不合格品集中收集后外售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废机油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shd w:val="clear" w:color="auto" w:fill="FFFFFF"/>
              </w:rPr>
              <w:t>、废乳化液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集中收集定期交由有资质单位处置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831"/>
    <w:rsid w:val="0008532F"/>
    <w:rsid w:val="000A510E"/>
    <w:rsid w:val="000A5D1B"/>
    <w:rsid w:val="000B799B"/>
    <w:rsid w:val="000E213C"/>
    <w:rsid w:val="000F36B1"/>
    <w:rsid w:val="00102EEB"/>
    <w:rsid w:val="00116737"/>
    <w:rsid w:val="0011710C"/>
    <w:rsid w:val="00117929"/>
    <w:rsid w:val="001600FC"/>
    <w:rsid w:val="00172A27"/>
    <w:rsid w:val="00196FB5"/>
    <w:rsid w:val="001C0CD2"/>
    <w:rsid w:val="001C25D5"/>
    <w:rsid w:val="001C5AB5"/>
    <w:rsid w:val="001F2A52"/>
    <w:rsid w:val="00274E43"/>
    <w:rsid w:val="00287078"/>
    <w:rsid w:val="00292F8C"/>
    <w:rsid w:val="002B7E00"/>
    <w:rsid w:val="002C0C64"/>
    <w:rsid w:val="002C395F"/>
    <w:rsid w:val="002F51EF"/>
    <w:rsid w:val="00320291"/>
    <w:rsid w:val="00395D55"/>
    <w:rsid w:val="003C628D"/>
    <w:rsid w:val="003D14B0"/>
    <w:rsid w:val="003E7D1B"/>
    <w:rsid w:val="004153ED"/>
    <w:rsid w:val="004935CB"/>
    <w:rsid w:val="004B71FD"/>
    <w:rsid w:val="004C7EBD"/>
    <w:rsid w:val="004E6F91"/>
    <w:rsid w:val="00564F6D"/>
    <w:rsid w:val="00580ABE"/>
    <w:rsid w:val="005C74AA"/>
    <w:rsid w:val="0060026D"/>
    <w:rsid w:val="00604AC9"/>
    <w:rsid w:val="00616D5E"/>
    <w:rsid w:val="006303D9"/>
    <w:rsid w:val="0064474B"/>
    <w:rsid w:val="0065017A"/>
    <w:rsid w:val="00671E55"/>
    <w:rsid w:val="00676B12"/>
    <w:rsid w:val="00691658"/>
    <w:rsid w:val="006963A6"/>
    <w:rsid w:val="006E5F99"/>
    <w:rsid w:val="006E7128"/>
    <w:rsid w:val="006E777F"/>
    <w:rsid w:val="00710710"/>
    <w:rsid w:val="007537D6"/>
    <w:rsid w:val="00757E99"/>
    <w:rsid w:val="00781870"/>
    <w:rsid w:val="007E0CD2"/>
    <w:rsid w:val="008364C1"/>
    <w:rsid w:val="00853135"/>
    <w:rsid w:val="00891D91"/>
    <w:rsid w:val="008B0B3A"/>
    <w:rsid w:val="008F22BB"/>
    <w:rsid w:val="0094140A"/>
    <w:rsid w:val="00996072"/>
    <w:rsid w:val="009B5326"/>
    <w:rsid w:val="009E3162"/>
    <w:rsid w:val="00A0510B"/>
    <w:rsid w:val="00A17C0D"/>
    <w:rsid w:val="00A267DE"/>
    <w:rsid w:val="00A37EAA"/>
    <w:rsid w:val="00A445CA"/>
    <w:rsid w:val="00A56F82"/>
    <w:rsid w:val="00A60E85"/>
    <w:rsid w:val="00A901A9"/>
    <w:rsid w:val="00AE3AD6"/>
    <w:rsid w:val="00AE59E4"/>
    <w:rsid w:val="00B31E9D"/>
    <w:rsid w:val="00B43359"/>
    <w:rsid w:val="00B4390D"/>
    <w:rsid w:val="00B51CBD"/>
    <w:rsid w:val="00B95334"/>
    <w:rsid w:val="00B95660"/>
    <w:rsid w:val="00BA3FA9"/>
    <w:rsid w:val="00BB24B8"/>
    <w:rsid w:val="00BB59B4"/>
    <w:rsid w:val="00BC331F"/>
    <w:rsid w:val="00BE2BD7"/>
    <w:rsid w:val="00BF04D9"/>
    <w:rsid w:val="00C43808"/>
    <w:rsid w:val="00C72462"/>
    <w:rsid w:val="00C9102F"/>
    <w:rsid w:val="00C92981"/>
    <w:rsid w:val="00C94877"/>
    <w:rsid w:val="00C95FED"/>
    <w:rsid w:val="00CE07D7"/>
    <w:rsid w:val="00D810B6"/>
    <w:rsid w:val="00D81ED7"/>
    <w:rsid w:val="00DA0DE7"/>
    <w:rsid w:val="00DA2050"/>
    <w:rsid w:val="00DA397B"/>
    <w:rsid w:val="00DD5804"/>
    <w:rsid w:val="00DF7FE4"/>
    <w:rsid w:val="00E032B6"/>
    <w:rsid w:val="00E140B0"/>
    <w:rsid w:val="00E42DDA"/>
    <w:rsid w:val="00E444E0"/>
    <w:rsid w:val="00E46A68"/>
    <w:rsid w:val="00EB60B3"/>
    <w:rsid w:val="00EC0FB1"/>
    <w:rsid w:val="00EE3870"/>
    <w:rsid w:val="00EF7B5B"/>
    <w:rsid w:val="00F65E94"/>
    <w:rsid w:val="00F67DEA"/>
    <w:rsid w:val="00F731DF"/>
    <w:rsid w:val="00FA3BF2"/>
    <w:rsid w:val="00FE2218"/>
    <w:rsid w:val="4A70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ascii="Tahoma" w:hAnsi="Tahoma" w:eastAsia="Tahoma"/>
      <w:color w:val="666644"/>
      <w:kern w:val="44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autoSpaceDE w:val="0"/>
      <w:autoSpaceDN w:val="0"/>
      <w:adjustRightInd w:val="0"/>
      <w:spacing w:before="1" w:beforeLines="0" w:line="537" w:lineRule="exact"/>
      <w:ind w:left="88" w:right="6"/>
    </w:pPr>
    <w:rPr>
      <w:kern w:val="0"/>
      <w:sz w:val="28"/>
      <w:szCs w:val="20"/>
    </w:rPr>
  </w:style>
  <w:style w:type="paragraph" w:styleId="4">
    <w:name w:val="Body Text Indent 2"/>
    <w:basedOn w:val="1"/>
    <w:link w:val="16"/>
    <w:uiPriority w:val="0"/>
    <w:pPr>
      <w:spacing w:line="500" w:lineRule="exact"/>
      <w:ind w:firstLine="456" w:firstLineChars="200"/>
      <w:jc w:val="left"/>
    </w:pPr>
    <w:rPr>
      <w:rFonts w:ascii="Times New Roman" w:hAnsi="Times New Roman"/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qFormat/>
    <w:uiPriority w:val="0"/>
    <w:rPr>
      <w:color w:val="373737"/>
      <w:sz w:val="18"/>
      <w:szCs w:val="18"/>
      <w:u w:val="none"/>
    </w:rPr>
  </w:style>
  <w:style w:type="character" w:styleId="10">
    <w:name w:val="Hyperlink"/>
    <w:uiPriority w:val="0"/>
    <w:rPr>
      <w:color w:val="373737"/>
      <w:sz w:val="18"/>
      <w:szCs w:val="18"/>
      <w:u w:val="none"/>
    </w:rPr>
  </w:style>
  <w:style w:type="character" w:customStyle="1" w:styleId="11">
    <w:name w:val="moduletitle_menuitemsel"/>
    <w:uiPriority w:val="0"/>
    <w:rPr>
      <w:rFonts w:hint="default" w:ascii="Tahoma" w:hAnsi="Tahoma" w:eastAsia="Tahoma" w:cs="Tahoma"/>
      <w:b/>
      <w:color w:val="000000"/>
      <w:sz w:val="18"/>
      <w:szCs w:val="18"/>
    </w:rPr>
  </w:style>
  <w:style w:type="paragraph" w:customStyle="1" w:styleId="12">
    <w:name w:val="HTML Bottom of Form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HTML Top of Form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4">
    <w:name w:val="页眉 字符"/>
    <w:link w:val="6"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正文文本缩进 2 字符"/>
    <w:basedOn w:val="8"/>
    <w:link w:val="4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2021-01-26T07:38:00Z</dcterms:created>
  <dc:creator>Administrator</dc:creator>
  <cp:lastModifiedBy>lenovo</cp:lastModifiedBy>
  <dcterms:modified xsi:type="dcterms:W3CDTF">2021-02-08T01:32:30Z</dcterms:modified>
  <dc:title>窗体顶端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