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558" w:tblpY="1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085"/>
        <w:gridCol w:w="830"/>
        <w:gridCol w:w="1212"/>
        <w:gridCol w:w="1119"/>
        <w:gridCol w:w="2394"/>
        <w:gridCol w:w="574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59"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序号</w:t>
            </w:r>
          </w:p>
        </w:tc>
        <w:tc>
          <w:tcPr>
            <w:tcW w:w="1085"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项目名称</w:t>
            </w:r>
          </w:p>
        </w:tc>
        <w:tc>
          <w:tcPr>
            <w:tcW w:w="830"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建设地点</w:t>
            </w:r>
          </w:p>
        </w:tc>
        <w:tc>
          <w:tcPr>
            <w:tcW w:w="1212"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建设单位</w:t>
            </w:r>
          </w:p>
        </w:tc>
        <w:tc>
          <w:tcPr>
            <w:tcW w:w="1119"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环境影响评价机构</w:t>
            </w:r>
          </w:p>
        </w:tc>
        <w:tc>
          <w:tcPr>
            <w:tcW w:w="2394"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建设项目概况</w:t>
            </w:r>
          </w:p>
        </w:tc>
        <w:tc>
          <w:tcPr>
            <w:tcW w:w="5741"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eastAsia" w:ascii="Times New Roman" w:hAnsi="Times New Roman"/>
                <w:b/>
                <w:bCs/>
                <w:kern w:val="0"/>
                <w:szCs w:val="21"/>
              </w:rPr>
            </w:pPr>
            <w:r>
              <w:rPr>
                <w:rFonts w:hint="eastAsia" w:ascii="Times New Roman" w:hAnsi="Times New Roman"/>
                <w:b/>
                <w:bCs/>
                <w:kern w:val="0"/>
                <w:szCs w:val="21"/>
              </w:rPr>
              <w:t>主要环境影响及预防或减轻不良环境影响的对策和措施</w:t>
            </w:r>
          </w:p>
        </w:tc>
        <w:tc>
          <w:tcPr>
            <w:tcW w:w="1018" w:type="dxa"/>
            <w:noWrap w:val="0"/>
            <w:vAlign w:val="top"/>
          </w:tcPr>
          <w:p>
            <w:pPr>
              <w:keepNext w:val="0"/>
              <w:keepLines w:val="0"/>
              <w:pageBreakBefore w:val="0"/>
              <w:widowControl/>
              <w:kinsoku/>
              <w:wordWrap/>
              <w:overflowPunct/>
              <w:topLinePunct w:val="0"/>
              <w:autoSpaceDE/>
              <w:autoSpaceDN/>
              <w:bidi w:val="0"/>
              <w:adjustRightInd/>
              <w:snapToGrid/>
              <w:spacing w:line="420" w:lineRule="atLeast"/>
              <w:jc w:val="center"/>
              <w:textAlignment w:val="auto"/>
              <w:rPr>
                <w:rFonts w:hint="default" w:ascii="Times New Roman" w:hAnsi="Times New Roman"/>
                <w:b/>
                <w:bCs/>
                <w:kern w:val="0"/>
                <w:szCs w:val="21"/>
                <w:lang w:val="en-US" w:eastAsia="zh-CN"/>
              </w:rPr>
            </w:pPr>
            <w:r>
              <w:rPr>
                <w:rFonts w:hint="eastAsia" w:ascii="Times New Roman" w:hAnsi="Times New Roman"/>
                <w:b/>
                <w:bCs/>
                <w:kern w:val="0"/>
                <w:szCs w:val="21"/>
                <w:lang w:val="en-US" w:eastAsia="zh-CN"/>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7" w:hRule="atLeast"/>
        </w:trPr>
        <w:tc>
          <w:tcPr>
            <w:tcW w:w="459" w:type="dxa"/>
            <w:noWrap w:val="0"/>
            <w:vAlign w:val="center"/>
          </w:tcPr>
          <w:p>
            <w:pPr>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085"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河南垚达鑫新型建材有限公司装配式产业园一期扩建改造年产6000万块蒸压灰砂砖</w:t>
            </w:r>
          </w:p>
        </w:tc>
        <w:tc>
          <w:tcPr>
            <w:tcW w:w="830" w:type="dxa"/>
            <w:noWrap w:val="0"/>
            <w:vAlign w:val="center"/>
          </w:tcPr>
          <w:p>
            <w:pPr>
              <w:jc w:val="both"/>
              <w:rPr>
                <w:rFonts w:hint="eastAsia" w:ascii="宋体" w:hAnsi="宋体" w:eastAsia="宋体" w:cs="宋体"/>
                <w:sz w:val="24"/>
                <w:szCs w:val="24"/>
              </w:rPr>
            </w:pPr>
            <w:r>
              <w:rPr>
                <w:rFonts w:hint="eastAsia" w:ascii="宋体" w:hAnsi="宋体" w:eastAsia="宋体" w:cs="宋体"/>
                <w:sz w:val="24"/>
                <w:szCs w:val="24"/>
              </w:rPr>
              <w:t>濮阳市濮阳县柳屯镇渡母寺村西南</w:t>
            </w:r>
          </w:p>
          <w:p>
            <w:pPr>
              <w:jc w:val="both"/>
              <w:rPr>
                <w:rFonts w:hint="eastAsia" w:ascii="宋体" w:hAnsi="宋体" w:eastAsia="宋体" w:cs="宋体"/>
                <w:sz w:val="24"/>
                <w:szCs w:val="24"/>
                <w:lang w:val="en-US" w:eastAsia="zh-CN"/>
              </w:rPr>
            </w:pPr>
          </w:p>
        </w:tc>
        <w:tc>
          <w:tcPr>
            <w:tcW w:w="1212"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河南垚达鑫新型建材有限公司</w:t>
            </w:r>
          </w:p>
        </w:tc>
        <w:tc>
          <w:tcPr>
            <w:tcW w:w="1119"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山东蒲公英环保技术有限公司</w:t>
            </w:r>
          </w:p>
        </w:tc>
        <w:tc>
          <w:tcPr>
            <w:tcW w:w="2394" w:type="dxa"/>
            <w:noWrap w:val="0"/>
            <w:vAlign w:val="center"/>
          </w:tcPr>
          <w:p>
            <w:pPr>
              <w:jc w:val="both"/>
              <w:rPr>
                <w:rFonts w:hint="eastAsia" w:ascii="宋体" w:hAnsi="宋体" w:eastAsia="宋体" w:cs="宋体"/>
                <w:sz w:val="24"/>
                <w:szCs w:val="24"/>
                <w:lang w:val="en-US" w:eastAsia="zh-CN"/>
              </w:rPr>
            </w:pPr>
            <w:r>
              <w:rPr>
                <w:rFonts w:hint="eastAsia" w:ascii="宋体" w:hAnsi="宋体" w:eastAsia="宋体" w:cs="宋体"/>
                <w:sz w:val="24"/>
                <w:szCs w:val="24"/>
              </w:rPr>
              <w:t>项目投资12000万元在厂址扩建年产6000万块蒸压灰砂砖项目，建设2号厂房，建筑面积13440平方米，年产6000万块蒸压灰砂砖生产线1条，建设钢板仓1座，储存能力6万立方，占地面积1661.05平方米，建设成品堆场7000平方米</w:t>
            </w:r>
          </w:p>
        </w:tc>
        <w:tc>
          <w:tcPr>
            <w:tcW w:w="5741" w:type="dxa"/>
            <w:noWrap w:val="0"/>
            <w:vAlign w:val="center"/>
          </w:tcPr>
          <w:p>
            <w:pPr>
              <w:jc w:val="both"/>
              <w:rPr>
                <w:rFonts w:hint="eastAsia" w:ascii="宋体" w:hAnsi="宋体" w:eastAsia="宋体" w:cs="宋体"/>
                <w:sz w:val="24"/>
                <w:szCs w:val="24"/>
              </w:rPr>
            </w:pPr>
            <w:r>
              <w:rPr>
                <w:rFonts w:hint="eastAsia" w:ascii="宋体" w:hAnsi="宋体" w:eastAsia="宋体" w:cs="宋体"/>
                <w:b/>
                <w:bCs/>
                <w:sz w:val="24"/>
                <w:szCs w:val="24"/>
              </w:rPr>
              <w:t>废气：</w:t>
            </w:r>
            <w:r>
              <w:rPr>
                <w:rFonts w:hint="eastAsia" w:ascii="宋体" w:hAnsi="宋体" w:eastAsia="宋体" w:cs="宋体"/>
                <w:sz w:val="24"/>
                <w:szCs w:val="24"/>
              </w:rPr>
              <w:t>项目废气主要为粉煤灰仓产生的粉尘经脉冲除尘器处理后15m高排气筒排放；混合搅拌工序产生的粉尘经集气罩+布袋除尘器处理后15m高排气筒排放；运输车辆扬尘经运输道路设置绿化带且控制车速、对厂区内地面进行硬化，并定期派专人进行路面清扫、洒水，加强管理，车辆运输加盖篷布且车辆进出场进行冲洗等措施，可减少运输时产生的粉尘对环境的影响；原料装卸堆存粉尘经厂房全密闭，地面硬化且设置防尘网，顶部设喷淋装置，可有效治理原料装卸堆存产生的粉尘；原料输送过程产生的粉尘经厂区输送皮带进行全密闭，物料皮带输送机受料点、卸料点设置密闭罩及喷雾装置，可有效减少原料输送过程中产生的粉尘；食堂油烟经油烟净化设施净化高空排放。</w:t>
            </w:r>
          </w:p>
          <w:p>
            <w:pPr>
              <w:jc w:val="both"/>
              <w:rPr>
                <w:rFonts w:hint="eastAsia" w:ascii="宋体" w:hAnsi="宋体" w:eastAsia="宋体" w:cs="宋体"/>
                <w:sz w:val="24"/>
                <w:szCs w:val="24"/>
              </w:rPr>
            </w:pPr>
            <w:r>
              <w:rPr>
                <w:rFonts w:hint="eastAsia" w:ascii="宋体" w:hAnsi="宋体" w:eastAsia="宋体" w:cs="宋体"/>
                <w:b/>
                <w:bCs/>
                <w:sz w:val="24"/>
                <w:szCs w:val="24"/>
              </w:rPr>
              <w:t>废水：</w:t>
            </w:r>
            <w:r>
              <w:rPr>
                <w:rFonts w:hint="eastAsia" w:ascii="宋体" w:hAnsi="宋体" w:eastAsia="宋体" w:cs="宋体"/>
                <w:sz w:val="24"/>
                <w:szCs w:val="24"/>
              </w:rPr>
              <w:t>本项目生活污水经隔油池、化粪池、一体化污水处理装置处理后，回用于生产不外排，生产废水三级沉淀池沉淀处理后，回用于生产不外排；</w:t>
            </w:r>
          </w:p>
          <w:p>
            <w:pPr>
              <w:jc w:val="both"/>
              <w:rPr>
                <w:rFonts w:hint="eastAsia" w:ascii="宋体" w:hAnsi="宋体" w:eastAsia="宋体" w:cs="宋体"/>
                <w:sz w:val="24"/>
                <w:szCs w:val="24"/>
              </w:rPr>
            </w:pPr>
            <w:r>
              <w:rPr>
                <w:rFonts w:hint="eastAsia" w:ascii="宋体" w:hAnsi="宋体" w:eastAsia="宋体" w:cs="宋体"/>
                <w:b/>
                <w:bCs/>
                <w:sz w:val="24"/>
                <w:szCs w:val="24"/>
              </w:rPr>
              <w:t>噪声：</w:t>
            </w:r>
            <w:r>
              <w:rPr>
                <w:rFonts w:hint="eastAsia" w:ascii="宋体" w:hAnsi="宋体" w:eastAsia="宋体" w:cs="宋体"/>
                <w:sz w:val="24"/>
                <w:szCs w:val="24"/>
              </w:rPr>
              <w:t>项目噪声主要来源于搅拌机等设备运行时的噪声，经采取隔声、减震等措施，项目厂界噪声排放满足《工业企业厂界环境噪声排放标准》（GB12348-2008）中2类标准。本项目营运期对周围声环境影响较小。</w:t>
            </w:r>
          </w:p>
          <w:p>
            <w:pPr>
              <w:jc w:val="both"/>
              <w:rPr>
                <w:rFonts w:hint="eastAsia" w:ascii="宋体" w:hAnsi="宋体" w:eastAsia="宋体" w:cs="宋体"/>
                <w:sz w:val="24"/>
                <w:szCs w:val="24"/>
                <w:lang w:val="en-US" w:eastAsia="zh-CN"/>
              </w:rPr>
            </w:pPr>
            <w:r>
              <w:rPr>
                <w:rFonts w:hint="eastAsia" w:ascii="宋体" w:hAnsi="宋体" w:eastAsia="宋体" w:cs="宋体"/>
                <w:b/>
                <w:bCs/>
                <w:sz w:val="24"/>
                <w:szCs w:val="24"/>
              </w:rPr>
              <w:t>固废：</w:t>
            </w:r>
            <w:r>
              <w:rPr>
                <w:rFonts w:hint="eastAsia" w:ascii="宋体" w:hAnsi="宋体" w:eastAsia="宋体" w:cs="宋体"/>
                <w:sz w:val="24"/>
                <w:szCs w:val="24"/>
              </w:rPr>
              <w:t>固体废物为布袋除尘器收集的粉尘，收集后暂存固废间回用于生产；沉淀池沉渣，收集后回用于生产；蒸压成型及养护工序产生的废品下脚料及不合格产品能回用的二次回用，不能回用的送至政府指定地点处理；废液压油集中收集后暂存危废间，交由有资质单位处理；生活垃圾收集后交环卫部门统一处理。</w:t>
            </w:r>
          </w:p>
        </w:tc>
        <w:tc>
          <w:tcPr>
            <w:tcW w:w="1018" w:type="dxa"/>
            <w:noWrap w:val="0"/>
            <w:vAlign w:val="center"/>
          </w:tcPr>
          <w:p>
            <w:pPr>
              <w:jc w:val="center"/>
              <w:rPr>
                <w:rFonts w:hint="eastAsia" w:eastAsia="宋体"/>
                <w:sz w:val="21"/>
                <w:szCs w:val="21"/>
                <w:lang w:val="en-US" w:eastAsia="zh-CN"/>
              </w:rPr>
            </w:pPr>
            <w:r>
              <w:rPr>
                <w:rFonts w:hint="eastAsia" w:ascii="仿宋_GB2312" w:eastAsia="仿宋_GB2312"/>
                <w:sz w:val="21"/>
                <w:szCs w:val="21"/>
                <w:lang w:val="en-US" w:eastAsia="zh-CN"/>
              </w:rPr>
              <w:t>/</w:t>
            </w:r>
          </w:p>
        </w:tc>
      </w:tr>
    </w:tbl>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F5FCA"/>
    <w:rsid w:val="522F5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560" w:firstLineChars="200"/>
    </w:pPr>
    <w:rPr>
      <w:rFonts w:ascii="仿宋_GB2312" w:eastAsia="仿宋_GB2312"/>
      <w:sz w:val="28"/>
    </w:rPr>
  </w:style>
  <w:style w:type="paragraph" w:customStyle="1" w:styleId="3">
    <w:name w:val="样式 正文文本缩进 + 行距: 1.5 倍行距"/>
    <w:basedOn w:val="2"/>
    <w:qFormat/>
    <w:uiPriority w:val="0"/>
    <w:pPr>
      <w:adjustRightInd/>
      <w:spacing w:after="120" w:line="360" w:lineRule="auto"/>
      <w:ind w:left="90" w:leftChars="32" w:firstLine="560" w:firstLineChars="200"/>
      <w:textAlignment w:val="auto"/>
    </w:pPr>
    <w:rPr>
      <w:rFonts w:cs="宋体"/>
      <w:kern w:val="2"/>
      <w:sz w:val="24"/>
    </w:rPr>
  </w:style>
  <w:style w:type="paragraph" w:styleId="4">
    <w:name w:val="Body Text First Indent 2"/>
    <w:basedOn w:val="2"/>
    <w:next w:val="1"/>
    <w:unhideWhenUsed/>
    <w:qFormat/>
    <w:uiPriority w:val="99"/>
    <w:pPr>
      <w:spacing w:after="120"/>
      <w:ind w:left="420" w:leftChars="200" w:firstLine="42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2021-04-15T02:21:00Z</dcterms:created>
  <dc:creator>杨萌</dc:creator>
  <cp:lastModifiedBy>杨萌</cp:lastModifiedBy>
  <dcterms:modified xsi:type="dcterms:W3CDTF">2021-04-15T02:21:58Z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43DF128D6DE9413C87B90FFE124785C7</vt:lpwstr>
  </property>
</Properties>
</file>