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551" w:tblpY="8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85"/>
        <w:gridCol w:w="830"/>
        <w:gridCol w:w="1212"/>
        <w:gridCol w:w="1119"/>
        <w:gridCol w:w="2394"/>
        <w:gridCol w:w="5741"/>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59"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序号</w:t>
            </w:r>
          </w:p>
        </w:tc>
        <w:tc>
          <w:tcPr>
            <w:tcW w:w="1085"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项目名称</w:t>
            </w:r>
          </w:p>
        </w:tc>
        <w:tc>
          <w:tcPr>
            <w:tcW w:w="830"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建设地点</w:t>
            </w:r>
          </w:p>
        </w:tc>
        <w:tc>
          <w:tcPr>
            <w:tcW w:w="1212"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建设单位</w:t>
            </w:r>
          </w:p>
        </w:tc>
        <w:tc>
          <w:tcPr>
            <w:tcW w:w="1119"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环境影响评价机构</w:t>
            </w:r>
          </w:p>
        </w:tc>
        <w:tc>
          <w:tcPr>
            <w:tcW w:w="2394"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建设项目概况</w:t>
            </w:r>
          </w:p>
        </w:tc>
        <w:tc>
          <w:tcPr>
            <w:tcW w:w="5741"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主要环境影响及预防或减轻不良环境影响的对策和措施</w:t>
            </w:r>
          </w:p>
        </w:tc>
        <w:tc>
          <w:tcPr>
            <w:tcW w:w="1018"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Times New Roman" w:hAnsi="Times New Roman"/>
                <w:b/>
                <w:bCs/>
                <w:kern w:val="0"/>
                <w:szCs w:val="21"/>
                <w:lang w:val="en-US" w:eastAsia="zh-CN"/>
              </w:rPr>
            </w:pPr>
            <w:r>
              <w:rPr>
                <w:rFonts w:hint="eastAsia" w:ascii="Times New Roman" w:hAnsi="Times New Roman"/>
                <w:b/>
                <w:bCs/>
                <w:kern w:val="0"/>
                <w:szCs w:val="21"/>
                <w:lang w:val="en-US" w:eastAsia="zh-CN"/>
              </w:rPr>
              <w:t>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7" w:hRule="atLeast"/>
        </w:trPr>
        <w:tc>
          <w:tcPr>
            <w:tcW w:w="459" w:type="dxa"/>
            <w:noWrap w:val="0"/>
            <w:vAlign w:val="center"/>
          </w:tcPr>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85" w:type="dxa"/>
            <w:noWrap w:val="0"/>
            <w:vAlign w:val="center"/>
          </w:tcPr>
          <w:p>
            <w:pPr>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年产500万平方米玻璃深加工及20万平方米门窗生产项目</w:t>
            </w:r>
          </w:p>
        </w:tc>
        <w:tc>
          <w:tcPr>
            <w:tcW w:w="830" w:type="dxa"/>
            <w:noWrap w:val="0"/>
            <w:vAlign w:val="center"/>
          </w:tcPr>
          <w:p>
            <w:pPr>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濮阳市濮阳县产业集聚区106国道与挥公大道交叉口向南50米路东</w:t>
            </w:r>
          </w:p>
        </w:tc>
        <w:tc>
          <w:tcPr>
            <w:tcW w:w="1212" w:type="dxa"/>
            <w:noWrap w:val="0"/>
            <w:vAlign w:val="center"/>
          </w:tcPr>
          <w:p>
            <w:pPr>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濮阳县天天钢化玻璃有限公司</w:t>
            </w:r>
          </w:p>
        </w:tc>
        <w:tc>
          <w:tcPr>
            <w:tcW w:w="1119" w:type="dxa"/>
            <w:noWrap w:val="0"/>
            <w:vAlign w:val="center"/>
          </w:tcPr>
          <w:p>
            <w:pPr>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山东蒲公英环保技术有限公司</w:t>
            </w:r>
          </w:p>
          <w:p>
            <w:pPr>
              <w:jc w:val="both"/>
              <w:rPr>
                <w:rFonts w:hint="eastAsia" w:ascii="宋体" w:hAnsi="宋体" w:eastAsia="宋体" w:cs="宋体"/>
                <w:sz w:val="24"/>
                <w:szCs w:val="24"/>
                <w:lang w:val="en-US" w:eastAsia="zh-CN"/>
              </w:rPr>
            </w:pPr>
          </w:p>
        </w:tc>
        <w:tc>
          <w:tcPr>
            <w:tcW w:w="2394" w:type="dxa"/>
            <w:noWrap w:val="0"/>
            <w:vAlign w:val="center"/>
          </w:tcPr>
          <w:p>
            <w:pPr>
              <w:jc w:val="both"/>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项目建筑面积为3600m2，总投资5600万元，租用濮阳县产业集聚区闲置空地进行建设。厂区西侧20m处为车床加工厂，东、南侧均为空地，北侧120m处为废弃养殖厂，厂区周边敏感点为南侧280m处的桃园村</w:t>
            </w:r>
            <w:r>
              <w:rPr>
                <w:rFonts w:hint="eastAsia" w:ascii="宋体" w:hAnsi="宋体" w:eastAsia="宋体" w:cs="宋体"/>
                <w:sz w:val="24"/>
                <w:szCs w:val="24"/>
                <w:lang w:val="en-US" w:eastAsia="zh-CN"/>
              </w:rPr>
              <w:t>；</w:t>
            </w:r>
            <w:bookmarkStart w:id="0" w:name="_GoBack"/>
            <w:bookmarkEnd w:id="0"/>
          </w:p>
        </w:tc>
        <w:tc>
          <w:tcPr>
            <w:tcW w:w="5741" w:type="dxa"/>
            <w:noWrap w:val="0"/>
            <w:vAlign w:val="center"/>
          </w:tcPr>
          <w:p>
            <w:pPr>
              <w:ind w:firstLine="482" w:firstLineChars="200"/>
              <w:jc w:val="both"/>
              <w:rPr>
                <w:rFonts w:hint="eastAsia" w:ascii="宋体" w:hAnsi="宋体" w:eastAsia="宋体" w:cs="宋体"/>
                <w:sz w:val="24"/>
                <w:szCs w:val="24"/>
                <w:lang w:val="en-US" w:eastAsia="zh-CN"/>
              </w:rPr>
            </w:pPr>
            <w:r>
              <w:rPr>
                <w:rFonts w:hint="default" w:ascii="宋体" w:hAnsi="宋体" w:eastAsia="宋体" w:cs="宋体"/>
                <w:b/>
                <w:bCs/>
                <w:sz w:val="24"/>
                <w:szCs w:val="24"/>
                <w:lang w:val="en-US" w:eastAsia="zh-CN"/>
              </w:rPr>
              <w:t>废气：</w:t>
            </w:r>
            <w:r>
              <w:rPr>
                <w:rFonts w:hint="eastAsia" w:ascii="宋体" w:hAnsi="宋体" w:eastAsia="宋体" w:cs="宋体"/>
                <w:sz w:val="24"/>
                <w:szCs w:val="24"/>
                <w:lang w:val="en-US" w:eastAsia="zh-CN"/>
              </w:rPr>
              <w:t>项目产生的废气主要来源于打胶、密封、灌胶、固化工序中产生的有机废气；通过在有机废气生产工段设置集气罩装置，再经管道收集汇总后采用UV光催化+活性炭吸附处理，达标后通过1根15m高得排气简高空排放。排放浓度能够达到《大气污染物综合排放标准》（GB16297-1996）表2二级标准及河南省环境污染防治攻坚战领导小组办公室文件《关于全省开展工业企业挥发性有机物专项治理工作中排放建议值的通知》（豫环攻坚办〔2017〕162）号文件中的排放浓度限值要求；对周围环境的影响较小；</w:t>
            </w:r>
          </w:p>
          <w:p>
            <w:pPr>
              <w:ind w:firstLine="482" w:firstLineChars="20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废水：</w:t>
            </w:r>
            <w:r>
              <w:rPr>
                <w:rFonts w:hint="eastAsia" w:ascii="宋体" w:hAnsi="宋体" w:eastAsia="宋体" w:cs="宋体"/>
                <w:sz w:val="24"/>
                <w:szCs w:val="24"/>
                <w:lang w:val="en-US" w:eastAsia="zh-CN"/>
              </w:rPr>
              <w:t>本项目废水主要为员工办公时产生的生活污水，生活污水经化粪池处理后定期清掏用于沤制农家肥。</w:t>
            </w:r>
          </w:p>
          <w:p>
            <w:pPr>
              <w:ind w:firstLine="482" w:firstLineChars="200"/>
              <w:jc w:val="both"/>
              <w:rPr>
                <w:rFonts w:hint="eastAsia" w:ascii="宋体" w:hAnsi="宋体" w:eastAsia="宋体" w:cs="宋体"/>
                <w:sz w:val="24"/>
                <w:szCs w:val="24"/>
                <w:lang w:val="en-US" w:eastAsia="zh-CN"/>
              </w:rPr>
            </w:pPr>
            <w:r>
              <w:rPr>
                <w:rFonts w:hint="default" w:ascii="宋体" w:hAnsi="宋体" w:eastAsia="宋体" w:cs="宋体"/>
                <w:b/>
                <w:bCs/>
                <w:sz w:val="24"/>
                <w:szCs w:val="24"/>
                <w:lang w:val="en-US" w:eastAsia="zh-CN"/>
              </w:rPr>
              <w:t>噪声：</w:t>
            </w:r>
            <w:r>
              <w:rPr>
                <w:rFonts w:hint="eastAsia" w:ascii="宋体" w:hAnsi="宋体" w:eastAsia="宋体" w:cs="宋体"/>
                <w:sz w:val="24"/>
                <w:szCs w:val="24"/>
                <w:lang w:val="en-US" w:eastAsia="zh-CN"/>
              </w:rPr>
              <w:t>项目产生的噪声主要为设备噪声，通过选用低噪设备、合理布置产噪设备、封闭噪声源、采取减震、设置绿化带、厂房隔音等措施处理后，</w:t>
            </w:r>
            <w:r>
              <w:rPr>
                <w:rFonts w:hint="eastAsia" w:ascii="宋体" w:hAnsi="宋体" w:eastAsia="宋体" w:cs="宋体"/>
                <w:sz w:val="24"/>
                <w:szCs w:val="24"/>
                <w:lang w:val="zh-CN" w:eastAsia="zh-CN"/>
              </w:rPr>
              <w:t>项目厂界噪声达到《</w:t>
            </w:r>
            <w:r>
              <w:rPr>
                <w:rFonts w:hint="eastAsia" w:ascii="宋体" w:hAnsi="宋体" w:eastAsia="宋体" w:cs="宋体"/>
                <w:sz w:val="24"/>
                <w:szCs w:val="24"/>
                <w:lang w:val="en-US" w:eastAsia="zh-CN"/>
              </w:rPr>
              <w:t>工业企业厂界环境噪声排放标准</w:t>
            </w:r>
            <w:r>
              <w:rPr>
                <w:rFonts w:hint="eastAsia" w:ascii="宋体" w:hAnsi="宋体" w:eastAsia="宋体" w:cs="宋体"/>
                <w:sz w:val="24"/>
                <w:szCs w:val="24"/>
                <w:lang w:val="zh-CN" w:eastAsia="zh-CN"/>
              </w:rPr>
              <w:t>》(GBl2348-2008)中2类标准要求</w:t>
            </w:r>
            <w:r>
              <w:rPr>
                <w:rFonts w:hint="eastAsia" w:ascii="宋体" w:hAnsi="宋体" w:eastAsia="宋体" w:cs="宋体"/>
                <w:sz w:val="24"/>
                <w:szCs w:val="24"/>
                <w:lang w:val="en-US" w:eastAsia="zh-CN"/>
              </w:rPr>
              <w:t>；</w:t>
            </w:r>
          </w:p>
          <w:p>
            <w:pPr>
              <w:ind w:firstLine="482" w:firstLineChars="200"/>
              <w:jc w:val="both"/>
              <w:rPr>
                <w:rFonts w:hint="eastAsia" w:ascii="宋体" w:hAnsi="宋体" w:eastAsia="宋体" w:cs="宋体"/>
                <w:sz w:val="24"/>
                <w:szCs w:val="24"/>
                <w:lang w:val="en-US" w:eastAsia="zh-CN"/>
              </w:rPr>
            </w:pPr>
            <w:r>
              <w:rPr>
                <w:rFonts w:hint="default" w:ascii="宋体" w:hAnsi="宋体" w:eastAsia="宋体" w:cs="宋体"/>
                <w:b/>
                <w:bCs/>
                <w:sz w:val="24"/>
                <w:szCs w:val="24"/>
                <w:lang w:val="en-US" w:eastAsia="zh-CN"/>
              </w:rPr>
              <w:t>固废：</w:t>
            </w:r>
            <w:r>
              <w:rPr>
                <w:rFonts w:hint="eastAsia" w:ascii="宋体" w:hAnsi="宋体" w:eastAsia="宋体" w:cs="宋体"/>
                <w:sz w:val="24"/>
                <w:szCs w:val="24"/>
                <w:lang w:val="en-US" w:eastAsia="zh-CN"/>
              </w:rPr>
              <w:t>本项目产生的一般固废主要为废玻璃角料、不合格玻璃产品、铝条切割废料、金属屑、沉淀池沉淀的玻璃渣、生活垃圾。其中废玻璃角料、不合格玻璃产品、铝条切割废料、金属屑收集后外售于相关部门综合利用；沉淀池沉淀的玻璃渣不可与生活垃圾混排，收集后回售给玻璃厂家作为原料；生活垃圾用垃圾桶收集，每天由环卫部门定时清运至垃圾处理场处理；本项目产生的危险废物主要为废胶、废胶包装桶、废活性炭及废矿物油。危险废物在危废间暂存，定期交有资质单位处置。综上，项目产生的固体废物全部综合利用和合理处置，不会对周围环境产生影响。</w:t>
            </w:r>
          </w:p>
        </w:tc>
        <w:tc>
          <w:tcPr>
            <w:tcW w:w="1018" w:type="dxa"/>
            <w:noWrap w:val="0"/>
            <w:vAlign w:val="center"/>
          </w:tcPr>
          <w:p>
            <w:pPr>
              <w:jc w:val="center"/>
              <w:rPr>
                <w:rFonts w:hint="eastAsia" w:eastAsia="宋体"/>
                <w:sz w:val="21"/>
                <w:szCs w:val="21"/>
                <w:lang w:val="en-US" w:eastAsia="zh-CN"/>
              </w:rPr>
            </w:pPr>
            <w:r>
              <w:rPr>
                <w:rFonts w:hint="eastAsia" w:ascii="仿宋_GB2312" w:eastAsia="仿宋_GB2312"/>
                <w:sz w:val="21"/>
                <w:szCs w:val="21"/>
                <w:lang w:val="en-US" w:eastAsia="zh-CN"/>
              </w:rPr>
              <w:t>/</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F5FCA"/>
    <w:rsid w:val="522F5FCA"/>
    <w:rsid w:val="560D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60" w:firstLineChars="200"/>
    </w:pPr>
    <w:rPr>
      <w:rFonts w:ascii="仿宋_GB2312" w:eastAsia="仿宋_GB2312"/>
      <w:sz w:val="28"/>
    </w:rPr>
  </w:style>
  <w:style w:type="paragraph" w:customStyle="1" w:styleId="3">
    <w:name w:val="样式 正文文本缩进 + 行距: 1.5 倍行距"/>
    <w:basedOn w:val="2"/>
    <w:qFormat/>
    <w:uiPriority w:val="0"/>
    <w:pPr>
      <w:adjustRightInd/>
      <w:spacing w:after="120" w:line="360" w:lineRule="auto"/>
      <w:ind w:left="90" w:leftChars="32" w:firstLine="560" w:firstLineChars="200"/>
      <w:textAlignment w:val="auto"/>
    </w:pPr>
    <w:rPr>
      <w:rFonts w:cs="宋体"/>
      <w:kern w:val="2"/>
      <w:sz w:val="24"/>
    </w:rPr>
  </w:style>
  <w:style w:type="paragraph" w:styleId="4">
    <w:name w:val="Body Text First Indent 2"/>
    <w:basedOn w:val="2"/>
    <w:next w:val="1"/>
    <w:unhideWhenUsed/>
    <w:qFormat/>
    <w:uiPriority w:val="99"/>
    <w:pPr>
      <w:spacing w:after="120"/>
      <w:ind w:left="420" w:leftChars="200" w:firstLine="420"/>
    </w:pPr>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2021-04-15T02:21:00Z</dcterms:created>
  <dc:creator>杨萌</dc:creator>
  <cp:lastModifiedBy>杨萌</cp:lastModifiedBy>
  <dcterms:modified xsi:type="dcterms:W3CDTF">2021-04-15T02:29:30Z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7320B0F04C9F4E518A7970C6255F55AE</vt:lpwstr>
  </property>
</Properties>
</file>