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pacing w:beforeAutospacing="0" w:after="0" w:afterAutospacing="0" w:line="360" w:lineRule="auto"/>
        <w:ind w:left="0" w:leftChars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1-3月份固定资产投资增长乏力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="0" w:afterLines="0"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2023年，全县牢固树立“项目为王”鲜明导向，扎实开展“三个一批活动，着力推进重大项目建设，积极扩大有效投资。从当前在库项目建设情况来看，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二季度投资增速将呈负增长态势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一、全县固定资产投资运行情况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pacing w:beforeAutospacing="0" w:after="0" w:afterAutospacing="0" w:line="360" w:lineRule="auto"/>
        <w:ind w:left="0" w:leftChars="0" w:firstLine="643" w:firstLineChars="200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（一）固定资产投资低位增长。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1-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月份，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全县固定资产投资完成29.01亿元，同比增长0.6%，增速比上月下降7.2个百分点，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低于全市平均水平(6.6%)6个百分点,位居五县三区第八位，较上月下滑五个位次。其中，房地产开发投资完成4.9亿元，同比下降5.8%，高于全市平均水平(-2.7%)3.1个百分点,位居五县三区第四位，较上月下滑两个位次。</w:t>
      </w:r>
    </w:p>
    <w:p>
      <w:pPr>
        <w:pStyle w:val="13"/>
        <w:keepNext w:val="0"/>
        <w:keepLines w:val="0"/>
        <w:pageBreakBefore w:val="0"/>
        <w:kinsoku/>
        <w:overflowPunct/>
        <w:topLinePunct w:val="0"/>
        <w:bidi w:val="0"/>
        <w:spacing w:after="0" w:line="360" w:lineRule="auto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5410200" cy="3520440"/>
            <wp:effectExtent l="4445" t="4445" r="14605" b="18415"/>
            <wp:docPr id="21323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="0" w:afterAutospacing="0" w:line="360" w:lineRule="auto"/>
        <w:ind w:left="0" w:leftChars="0" w:firstLine="643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楷体" w:hAnsi="楷体" w:eastAsia="楷体" w:cs="楷体"/>
          <w:b/>
          <w:bCs/>
          <w:i w:val="0"/>
          <w:caps w:val="0"/>
          <w:color w:val="000000"/>
          <w:spacing w:val="0"/>
          <w:sz w:val="32"/>
          <w:szCs w:val="32"/>
        </w:rPr>
        <w:t>分产业投资</w:t>
      </w:r>
      <w:r>
        <w:rPr>
          <w:rFonts w:hint="eastAsia" w:ascii="楷体" w:hAnsi="楷体" w:eastAsia="楷体" w:cs="楷体"/>
          <w:b/>
          <w:bCs/>
          <w:i w:val="0"/>
          <w:caps w:val="0"/>
          <w:color w:val="000000"/>
          <w:spacing w:val="0"/>
          <w:sz w:val="32"/>
          <w:szCs w:val="32"/>
          <w:lang w:eastAsia="zh-CN"/>
        </w:rPr>
        <w:t>完成情况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1-3月，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第一产业投资完成1.01亿元，同比下降42.9%，第二产业投资完成4.59亿元，同比增长23.1%。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第三产业投资完成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23.41亿元，同比下降4.2%，增速分别比上月下降174.9、82.5、5.6个百分点。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="0" w:line="360" w:lineRule="auto"/>
        <w:ind w:firstLine="643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（三）工业投资增速下降明显。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1-3月，工业投资完成4.59亿元，同比增长23.1%，增速比上月下降82.5个百分点，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低于全市平均水平（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26.0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%）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2.9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个百分点，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位居全市五县三区第五位，与第一位（华龙区49.5%）相差26.4个百分点，与第二名（台前县32%）相差8.9个百分点，与第三名（范县31.3%）相差8.2个百分点。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（四）房地产开发投资平稳回暖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1-3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房地产开发投资完成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4.89亿元，同比下降5.8%，比上月下降50.9个百分点，比上年全年回升22.3个百分点。商品房销售面积完成22.32万平方米，同比下降6%，比上年全年回升24.1个百分点。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left="0" w:leftChars="0"/>
        <w:jc w:val="both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二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在库项目少、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投资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余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量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下降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月份，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在库项目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（已经完工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较去年同期减少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3个；在库项目亿元以上74个，同比增加2个，其中10亿元以上项目11个，同比减少3个。</w:t>
      </w:r>
      <w:r>
        <w:rPr>
          <w:rFonts w:hint="eastAsia" w:ascii="仿宋" w:hAnsi="仿宋" w:eastAsia="仿宋" w:cs="仿宋"/>
          <w:sz w:val="32"/>
          <w:szCs w:val="32"/>
        </w:rPr>
        <w:t>项目存量支撑不足，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在库项目</w:t>
      </w:r>
      <w:r>
        <w:rPr>
          <w:rFonts w:hint="eastAsia" w:ascii="仿宋" w:hAnsi="仿宋" w:eastAsia="仿宋" w:cs="仿宋"/>
          <w:sz w:val="32"/>
          <w:szCs w:val="32"/>
        </w:rPr>
        <w:t>完成率达80%以上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22个</w:t>
      </w:r>
      <w:r>
        <w:rPr>
          <w:rFonts w:hint="eastAsia" w:ascii="仿宋" w:hAnsi="仿宋" w:eastAsia="仿宋" w:cs="仿宋"/>
          <w:sz w:val="32"/>
          <w:szCs w:val="32"/>
        </w:rPr>
        <w:t>，全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在库项目投资（不含房地产）完成率（投资完成率=累计完成投资/计划总投资）达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52.2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。投资余量（投资余量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=累计完成投资-计划总投资）276.2亿元，较同期下降5.1%。</w:t>
      </w:r>
      <w:r>
        <w:rPr>
          <w:rFonts w:hint="eastAsia" w:ascii="仿宋" w:hAnsi="仿宋" w:eastAsia="仿宋" w:cs="仿宋"/>
          <w:sz w:val="32"/>
          <w:szCs w:val="32"/>
        </w:rPr>
        <w:t>从投资规模较大的项目看，文23储气库二期工程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投资完成率达到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58%，濮阳至湖北阳新高速公路黄河大桥（濮阳段二期）工程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投资完成率达到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92%；省道304濮阳白堽黄河公路大桥及接线工程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投资完成率达到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68%，</w:t>
      </w:r>
      <w:r>
        <w:rPr>
          <w:rFonts w:hint="eastAsia" w:ascii="仿宋" w:hAnsi="仿宋" w:eastAsia="仿宋" w:cs="仿宋"/>
          <w:sz w:val="32"/>
          <w:szCs w:val="32"/>
        </w:rPr>
        <w:t>濮阳县黄滨基础设施配套项目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、开州枫景、濮阳县中心片区改造项目、濮阳县2021年高标准农田建设项目、</w:t>
      </w:r>
      <w:r>
        <w:rPr>
          <w:rFonts w:hint="eastAsia" w:ascii="仿宋" w:hAnsi="仿宋" w:eastAsia="仿宋" w:cs="仿宋"/>
          <w:sz w:val="32"/>
          <w:szCs w:val="32"/>
        </w:rPr>
        <w:t>濮阳县濮上人家安置房三期建设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部分大项目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投资完成率达到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90%以上</w:t>
      </w:r>
      <w:r>
        <w:rPr>
          <w:rFonts w:hint="eastAsia" w:ascii="仿宋" w:hAnsi="仿宋" w:eastAsia="仿宋" w:cs="仿宋"/>
          <w:sz w:val="32"/>
          <w:szCs w:val="32"/>
        </w:rPr>
        <w:t>建设接近尾声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对继续拉动全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投资增长发挥作用有限。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（二）基数大，新入库项目个数少，增长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乏力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2022年全市固定资产完成1049.4亿元，濮阳县完成267.4亿元，占全市投资比重25.5%。2022年全市固定资产投资项目入库628个，其中亿元以上项目215个，濮阳县入库63个，亿元以上项目40个，分别占全市的10.0%、18.6%；2023年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一季度我县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新入库项目7个，占全市（60个）11.7%，其中亿元以上入库3个，占全市（16个）18.8%。</w:t>
      </w:r>
      <w:r>
        <w:rPr>
          <w:rFonts w:hint="eastAsia" w:ascii="仿宋" w:hAnsi="仿宋" w:eastAsia="仿宋" w:cs="仿宋"/>
          <w:sz w:val="32"/>
          <w:szCs w:val="32"/>
        </w:rPr>
        <w:t>项目的接续入库才能保障投资的连续性，由于我县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一季度</w:t>
      </w:r>
      <w:r>
        <w:rPr>
          <w:rFonts w:hint="eastAsia" w:ascii="仿宋" w:hAnsi="仿宋" w:eastAsia="仿宋" w:cs="仿宋"/>
          <w:sz w:val="32"/>
          <w:szCs w:val="32"/>
        </w:rPr>
        <w:t>新入库项目较少，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无法</w:t>
      </w:r>
      <w:r>
        <w:rPr>
          <w:rFonts w:hint="eastAsia" w:ascii="仿宋" w:hAnsi="仿宋" w:eastAsia="仿宋" w:cs="仿宋"/>
          <w:sz w:val="32"/>
          <w:szCs w:val="32"/>
        </w:rPr>
        <w:t>对投资量的提升产生较大影响。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="0" w:line="360" w:lineRule="auto"/>
        <w:ind w:left="0" w:firstLine="42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）重点项目进展慢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、新开工项目支撑不足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月份，全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</w:t>
      </w:r>
      <w:r>
        <w:rPr>
          <w:rFonts w:hint="eastAsia" w:ascii="仿宋" w:hAnsi="仿宋" w:eastAsia="仿宋" w:cs="仿宋"/>
          <w:sz w:val="32"/>
          <w:szCs w:val="32"/>
        </w:rPr>
        <w:t>个重点项目中，已入库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其中往年入库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28个，本年入库1个，</w:t>
      </w:r>
      <w:r>
        <w:rPr>
          <w:rFonts w:hint="eastAsia" w:ascii="仿宋" w:hAnsi="仿宋" w:eastAsia="仿宋" w:cs="仿宋"/>
          <w:sz w:val="32"/>
          <w:szCs w:val="32"/>
        </w:rPr>
        <w:t>未入库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</w:rPr>
        <w:t>个。重点项目推进较慢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不能及时入库，影响投资增量，河南赛能硅业有限公司、巴德富二期、濮阳县中裕光伏压延玻璃项目形象进度达不到入库标准，第二季度投资将面临后劲不足的风险。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="0" w:line="360" w:lineRule="auto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（四）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查询力度大、凭证要求严。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今年以来，国家、省加大了对投资统计数据凭证质量的审核力度，要求越来越高、范围也越广。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1-3月份，固定资产投资项目省级查询14批，其中投资项目查询14批，涉及投资项目21个，房地产投资及销售查询10批，涉及项目24个。从提供的投资凭证情况来看，仍然存在凭证不齐全、不完整、不规范等问题。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下一步</w:t>
      </w:r>
      <w:r>
        <w:rPr>
          <w:rFonts w:hint="eastAsia" w:ascii="黑体" w:hAnsi="黑体" w:eastAsia="黑体" w:cs="黑体"/>
          <w:sz w:val="32"/>
          <w:szCs w:val="32"/>
        </w:rPr>
        <w:t>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（一）加强重大项目招引谋划，确保项目衔接有序。</w:t>
      </w:r>
      <w:r>
        <w:rPr>
          <w:rFonts w:hint="eastAsia" w:ascii="仿宋" w:hAnsi="仿宋" w:eastAsia="仿宋" w:cs="仿宋"/>
          <w:sz w:val="32"/>
          <w:szCs w:val="32"/>
        </w:rPr>
        <w:t>根据国家和省重大战略部署、重大建设规划等，依托本地产业集聚区等发展载体，加大招商引资力度，加快建设有竞争力的工业产业。高度重视项目前期工作，抓好项目储备，建好项目库，确保“三个一批”活动滚动开展、项目源源不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（二）加快项目推进速度，完善相关手续。</w:t>
      </w:r>
      <w:r>
        <w:rPr>
          <w:rFonts w:hint="eastAsia" w:ascii="仿宋" w:hAnsi="仿宋" w:eastAsia="仿宋" w:cs="仿宋"/>
          <w:sz w:val="32"/>
          <w:szCs w:val="32"/>
        </w:rPr>
        <w:t>对于未开工的项目，加快项目启动前期工作，完善项目建设条件，统筹规划、审批、环评、土地、融资、用人等要素保障工作，项目尽量在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上半年</w:t>
      </w:r>
      <w:r>
        <w:rPr>
          <w:rFonts w:hint="eastAsia" w:ascii="仿宋" w:hAnsi="仿宋" w:eastAsia="仿宋" w:cs="仿宋"/>
          <w:sz w:val="32"/>
          <w:szCs w:val="32"/>
        </w:rPr>
        <w:t>开工；对于已经开工建设的项目，加快项目批文、施工合同等入库手续办理，确保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月份项目入库手续完善；对于已经入库的项目，加强项目投资凭证收集，避免因无凭证而漏报。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right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（三）加大项目入库力度，严格督导考核。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加强调度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进一步明确项目入库工作责任，建立健全项目入库工作联动机制，定期全面梳理待入库项目，拉单列表抓项目入库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抓早抓紧抓实，紧盯时间节点，确保项目及时入库。二是做好业务指导，县统计局要做好项目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入库指导，协调解决入库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  <w:lang w:eastAsia="zh-CN"/>
        </w:rPr>
        <w:t>过程中出现的问题，认真审核入库资料，发现问题提出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指导性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  <w:lang w:eastAsia="zh-CN"/>
        </w:rPr>
        <w:t>修改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意见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  <w:lang w:eastAsia="zh-CN"/>
        </w:rPr>
        <w:t>，确保入库通过率。三是加强督导考核，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县督察局要采取专项督查方式，强化对固定资产投资入库工作的督导。入库工作月调度、季通报，对完不成目标的乡镇（办）主要负责人进行约谈，年终对各单位严格考核，考核结果记入综合考评。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633" w:bottom="1440" w:left="1746" w:header="708" w:footer="709" w:gutter="0"/>
      <w:cols w:space="72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yMGEzNmY1ZWJmY2NmM2YwYjNkN2IxZjQxOTAzZGIifQ=="/>
  </w:docVars>
  <w:rsids>
    <w:rsidRoot w:val="00000000"/>
    <w:rsid w:val="00005402"/>
    <w:rsid w:val="00BC03DC"/>
    <w:rsid w:val="00F5495F"/>
    <w:rsid w:val="0139584D"/>
    <w:rsid w:val="02B01361"/>
    <w:rsid w:val="036D2DAF"/>
    <w:rsid w:val="048B2727"/>
    <w:rsid w:val="06356D29"/>
    <w:rsid w:val="06CB4EA1"/>
    <w:rsid w:val="08073C4E"/>
    <w:rsid w:val="086D71A5"/>
    <w:rsid w:val="08B55C41"/>
    <w:rsid w:val="0A3C559C"/>
    <w:rsid w:val="0BB10B92"/>
    <w:rsid w:val="0BC44A07"/>
    <w:rsid w:val="0BCA092D"/>
    <w:rsid w:val="0BFF4405"/>
    <w:rsid w:val="0D5758ED"/>
    <w:rsid w:val="0D581F66"/>
    <w:rsid w:val="0DA73361"/>
    <w:rsid w:val="0E2B5D40"/>
    <w:rsid w:val="0EED006C"/>
    <w:rsid w:val="0F4722DA"/>
    <w:rsid w:val="11504E42"/>
    <w:rsid w:val="11DA4164"/>
    <w:rsid w:val="13B46D28"/>
    <w:rsid w:val="146E338A"/>
    <w:rsid w:val="14851DEB"/>
    <w:rsid w:val="148A41A7"/>
    <w:rsid w:val="152D05F0"/>
    <w:rsid w:val="158B6708"/>
    <w:rsid w:val="15CF15E7"/>
    <w:rsid w:val="166C0BCF"/>
    <w:rsid w:val="18C146B2"/>
    <w:rsid w:val="1A8A65E6"/>
    <w:rsid w:val="1AA21C82"/>
    <w:rsid w:val="1AE101ED"/>
    <w:rsid w:val="1B065B6B"/>
    <w:rsid w:val="1B097409"/>
    <w:rsid w:val="1BB96DFB"/>
    <w:rsid w:val="1DD32461"/>
    <w:rsid w:val="1EC54199"/>
    <w:rsid w:val="1EF32836"/>
    <w:rsid w:val="1F64420B"/>
    <w:rsid w:val="20B25B50"/>
    <w:rsid w:val="21080937"/>
    <w:rsid w:val="217D0DBC"/>
    <w:rsid w:val="22356D36"/>
    <w:rsid w:val="24D459AC"/>
    <w:rsid w:val="24DC47D0"/>
    <w:rsid w:val="25E3760F"/>
    <w:rsid w:val="26E650A4"/>
    <w:rsid w:val="278972D0"/>
    <w:rsid w:val="27F51441"/>
    <w:rsid w:val="285875D3"/>
    <w:rsid w:val="2919115F"/>
    <w:rsid w:val="29475E1D"/>
    <w:rsid w:val="2BFA403E"/>
    <w:rsid w:val="2C997682"/>
    <w:rsid w:val="2CA00393"/>
    <w:rsid w:val="2CD3244C"/>
    <w:rsid w:val="2D617851"/>
    <w:rsid w:val="2DA4110E"/>
    <w:rsid w:val="2DD35D80"/>
    <w:rsid w:val="31D1096E"/>
    <w:rsid w:val="31D922B7"/>
    <w:rsid w:val="32C3008C"/>
    <w:rsid w:val="333C7F24"/>
    <w:rsid w:val="336456CD"/>
    <w:rsid w:val="340F4830"/>
    <w:rsid w:val="3578207A"/>
    <w:rsid w:val="373123D7"/>
    <w:rsid w:val="380B25BB"/>
    <w:rsid w:val="392C0A3B"/>
    <w:rsid w:val="39BE76A8"/>
    <w:rsid w:val="39C75906"/>
    <w:rsid w:val="3A7E2297"/>
    <w:rsid w:val="3AA328F4"/>
    <w:rsid w:val="3B31418D"/>
    <w:rsid w:val="3CC724CC"/>
    <w:rsid w:val="3D9A0E8C"/>
    <w:rsid w:val="3E6B423E"/>
    <w:rsid w:val="3E6E05C3"/>
    <w:rsid w:val="3EE31B9B"/>
    <w:rsid w:val="3F66395E"/>
    <w:rsid w:val="42E6601D"/>
    <w:rsid w:val="431C5746"/>
    <w:rsid w:val="442B5373"/>
    <w:rsid w:val="44560068"/>
    <w:rsid w:val="45635287"/>
    <w:rsid w:val="45AC5A94"/>
    <w:rsid w:val="45D40195"/>
    <w:rsid w:val="467838D3"/>
    <w:rsid w:val="47B658A1"/>
    <w:rsid w:val="47F26AB2"/>
    <w:rsid w:val="49E56DDC"/>
    <w:rsid w:val="4A8F384C"/>
    <w:rsid w:val="4BCF232F"/>
    <w:rsid w:val="4C390122"/>
    <w:rsid w:val="4C7E7715"/>
    <w:rsid w:val="4DEF560E"/>
    <w:rsid w:val="4DF23BA9"/>
    <w:rsid w:val="4FB945F5"/>
    <w:rsid w:val="4FEE5532"/>
    <w:rsid w:val="4FFF6AE7"/>
    <w:rsid w:val="50176A05"/>
    <w:rsid w:val="5034097A"/>
    <w:rsid w:val="507D20F4"/>
    <w:rsid w:val="50D47596"/>
    <w:rsid w:val="54414BE6"/>
    <w:rsid w:val="544E0340"/>
    <w:rsid w:val="55017827"/>
    <w:rsid w:val="56A95021"/>
    <w:rsid w:val="5802122A"/>
    <w:rsid w:val="59023DE6"/>
    <w:rsid w:val="596F4300"/>
    <w:rsid w:val="59B45F60"/>
    <w:rsid w:val="5ADF7263"/>
    <w:rsid w:val="5AFA0033"/>
    <w:rsid w:val="5B631C42"/>
    <w:rsid w:val="5C476DF6"/>
    <w:rsid w:val="5D2A7635"/>
    <w:rsid w:val="5D872700"/>
    <w:rsid w:val="5E2D6537"/>
    <w:rsid w:val="5E8A5B7F"/>
    <w:rsid w:val="600D24EE"/>
    <w:rsid w:val="607D0DB2"/>
    <w:rsid w:val="61016009"/>
    <w:rsid w:val="623C668C"/>
    <w:rsid w:val="62F85366"/>
    <w:rsid w:val="64667A70"/>
    <w:rsid w:val="64AB716A"/>
    <w:rsid w:val="65E572CE"/>
    <w:rsid w:val="663D26F3"/>
    <w:rsid w:val="66F54CA3"/>
    <w:rsid w:val="67231E9A"/>
    <w:rsid w:val="675B6500"/>
    <w:rsid w:val="68631DE8"/>
    <w:rsid w:val="693F1387"/>
    <w:rsid w:val="6A6A4BA8"/>
    <w:rsid w:val="6AF97ECD"/>
    <w:rsid w:val="6BB81B36"/>
    <w:rsid w:val="6C703B08"/>
    <w:rsid w:val="6FC441E7"/>
    <w:rsid w:val="71CD5C10"/>
    <w:rsid w:val="725F25AD"/>
    <w:rsid w:val="72EC4E44"/>
    <w:rsid w:val="73112589"/>
    <w:rsid w:val="733A725C"/>
    <w:rsid w:val="73D66494"/>
    <w:rsid w:val="73DB5880"/>
    <w:rsid w:val="7403129B"/>
    <w:rsid w:val="740F38B6"/>
    <w:rsid w:val="752A3529"/>
    <w:rsid w:val="76347DD8"/>
    <w:rsid w:val="767F3A46"/>
    <w:rsid w:val="781204CA"/>
    <w:rsid w:val="78702F84"/>
    <w:rsid w:val="78CC24BC"/>
    <w:rsid w:val="79240275"/>
    <w:rsid w:val="7AA139E4"/>
    <w:rsid w:val="7AD02261"/>
    <w:rsid w:val="7C455D66"/>
    <w:rsid w:val="7C9B039F"/>
    <w:rsid w:val="7D1462CD"/>
    <w:rsid w:val="7D2674AD"/>
    <w:rsid w:val="7E5103CA"/>
    <w:rsid w:val="7E9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5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single"/>
    </w:rPr>
  </w:style>
  <w:style w:type="character" w:styleId="9">
    <w:name w:val="Emphasis"/>
    <w:basedOn w:val="7"/>
    <w:qFormat/>
    <w:uiPriority w:val="0"/>
    <w:rPr>
      <w:rFonts w:hint="eastAsia" w:ascii="微软雅黑" w:hAnsi="微软雅黑" w:eastAsia="微软雅黑" w:cs="微软雅黑"/>
    </w:rPr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paragraph" w:customStyle="1" w:styleId="11">
    <w:name w:val="Body Text First Indent 21"/>
    <w:basedOn w:val="12"/>
    <w:next w:val="13"/>
    <w:qFormat/>
    <w:uiPriority w:val="0"/>
    <w:pPr>
      <w:widowControl w:val="0"/>
      <w:spacing w:after="120" w:afterLines="0"/>
      <w:ind w:left="420" w:leftChars="200" w:firstLine="420" w:firstLineChars="200"/>
      <w:jc w:val="both"/>
    </w:pPr>
    <w:rPr>
      <w:rFonts w:eastAsia="宋体"/>
      <w:sz w:val="24"/>
    </w:rPr>
  </w:style>
  <w:style w:type="paragraph" w:customStyle="1" w:styleId="12">
    <w:name w:val="Body Text Indent1"/>
    <w:basedOn w:val="1"/>
    <w:qFormat/>
    <w:uiPriority w:val="0"/>
    <w:pPr>
      <w:widowControl w:val="0"/>
      <w:spacing w:after="120" w:afterLines="0"/>
      <w:ind w:left="420" w:leftChars="200"/>
      <w:jc w:val="both"/>
    </w:pPr>
    <w:rPr>
      <w:rFonts w:cs="Times New Roman"/>
      <w:szCs w:val="24"/>
    </w:rPr>
  </w:style>
  <w:style w:type="paragraph" w:customStyle="1" w:styleId="13">
    <w:name w:val="Body Text First Indent1"/>
    <w:basedOn w:val="3"/>
    <w:qFormat/>
    <w:uiPriority w:val="0"/>
    <w:pPr>
      <w:ind w:firstLine="420" w:firstLineChars="100"/>
    </w:pPr>
  </w:style>
  <w:style w:type="character" w:customStyle="1" w:styleId="14">
    <w:name w:val="hover33"/>
    <w:basedOn w:val="7"/>
    <w:qFormat/>
    <w:uiPriority w:val="0"/>
    <w:rPr>
      <w:color w:val="0C71E1"/>
    </w:rPr>
  </w:style>
  <w:style w:type="character" w:customStyle="1" w:styleId="15">
    <w:name w:val="hover34"/>
    <w:basedOn w:val="7"/>
    <w:qFormat/>
    <w:uiPriority w:val="0"/>
    <w:rPr>
      <w:color w:val="0C71E1"/>
    </w:rPr>
  </w:style>
  <w:style w:type="character" w:customStyle="1" w:styleId="16">
    <w:name w:val="hover35"/>
    <w:basedOn w:val="7"/>
    <w:qFormat/>
    <w:uiPriority w:val="0"/>
    <w:rPr>
      <w:color w:val="FFFFFF"/>
    </w:rPr>
  </w:style>
  <w:style w:type="character" w:customStyle="1" w:styleId="17">
    <w:name w:val="ul_li_a_1"/>
    <w:basedOn w:val="7"/>
    <w:qFormat/>
    <w:uiPriority w:val="0"/>
    <w:rPr>
      <w:b/>
      <w:bCs/>
      <w:color w:val="FFFFFF"/>
    </w:rPr>
  </w:style>
  <w:style w:type="character" w:customStyle="1" w:styleId="18">
    <w:name w:val="layui-layer-tabnow"/>
    <w:basedOn w:val="7"/>
    <w:qFormat/>
    <w:uiPriority w:val="0"/>
    <w:rPr>
      <w:bdr w:val="single" w:color="CCCCCC" w:sz="6" w:space="0"/>
      <w:shd w:val="clear" w:fill="FFFFFF"/>
    </w:rPr>
  </w:style>
  <w:style w:type="character" w:customStyle="1" w:styleId="19">
    <w:name w:val="first-child"/>
    <w:basedOn w:val="7"/>
    <w:qFormat/>
    <w:uiPriority w:val="0"/>
  </w:style>
  <w:style w:type="character" w:customStyle="1" w:styleId="20">
    <w:name w:val="a_p_3"/>
    <w:basedOn w:val="7"/>
    <w:qFormat/>
    <w:uiPriority w:val="0"/>
    <w:rPr>
      <w:sz w:val="27"/>
      <w:szCs w:val="27"/>
    </w:rPr>
  </w:style>
  <w:style w:type="character" w:customStyle="1" w:styleId="21">
    <w:name w:val="a_p_1"/>
    <w:basedOn w:val="7"/>
    <w:qFormat/>
    <w:uiPriority w:val="0"/>
    <w:rPr>
      <w:sz w:val="27"/>
      <w:szCs w:val="27"/>
    </w:rPr>
  </w:style>
  <w:style w:type="character" w:customStyle="1" w:styleId="22">
    <w:name w:val="subhuspan3"/>
    <w:basedOn w:val="7"/>
    <w:qFormat/>
    <w:uiPriority w:val="0"/>
  </w:style>
  <w:style w:type="character" w:customStyle="1" w:styleId="23">
    <w:name w:val="subhuspan1"/>
    <w:basedOn w:val="7"/>
    <w:qFormat/>
    <w:uiPriority w:val="0"/>
  </w:style>
  <w:style w:type="character" w:customStyle="1" w:styleId="24">
    <w:name w:val="subhuspan2"/>
    <w:basedOn w:val="7"/>
    <w:qFormat/>
    <w:uiPriority w:val="0"/>
  </w:style>
  <w:style w:type="character" w:customStyle="1" w:styleId="25">
    <w:name w:val="a_p_2"/>
    <w:basedOn w:val="7"/>
    <w:qFormat/>
    <w:uiPriority w:val="0"/>
  </w:style>
  <w:style w:type="character" w:customStyle="1" w:styleId="26">
    <w:name w:val="a_p_21"/>
    <w:basedOn w:val="7"/>
    <w:qFormat/>
    <w:uiPriority w:val="0"/>
    <w:rPr>
      <w:sz w:val="27"/>
      <w:szCs w:val="27"/>
    </w:rPr>
  </w:style>
  <w:style w:type="character" w:customStyle="1" w:styleId="27">
    <w:name w:val="exap"/>
    <w:basedOn w:val="7"/>
    <w:qFormat/>
    <w:uiPriority w:val="0"/>
    <w:rPr>
      <w:sz w:val="27"/>
      <w:szCs w:val="27"/>
    </w:rPr>
  </w:style>
  <w:style w:type="character" w:customStyle="1" w:styleId="28">
    <w:name w:val="bsharetext"/>
    <w:basedOn w:val="7"/>
    <w:qFormat/>
    <w:uiPriority w:val="0"/>
  </w:style>
  <w:style w:type="character" w:customStyle="1" w:styleId="29">
    <w:name w:val="post_wemedia_info1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25237;&#36164;\2023&#24180;&#25237;&#36164;\&#26376;&#25253;\3&#26376;\&#28654;&#38451;&#21439;3&#26376;&#20221;&#32479;&#35745;&#26376;&#25253;&#65288;&#23450;&#31295;)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方正大标宋简体" panose="02010601030101010101" charset="-122"/>
                <a:ea typeface="方正大标宋简体" panose="02010601030101010101" charset="-122"/>
                <a:cs typeface="方正大标宋简体" panose="02010601030101010101" charset="-122"/>
                <a:sym typeface="方正大标宋简体" panose="02010601030101010101" charset="-122"/>
              </a:defRPr>
            </a:pPr>
            <a:r>
              <a:rPr sz="1400" b="1" i="0" u="none" strike="noStrike" baseline="0">
                <a:solidFill>
                  <a:srgbClr val="333333"/>
                </a:solidFill>
                <a:latin typeface="方正大标宋简体" panose="02010601030101010101" charset="-122"/>
                <a:ea typeface="方正大标宋简体" panose="02010601030101010101" charset="-122"/>
                <a:cs typeface="方正大标宋简体" panose="02010601030101010101" charset="-122"/>
                <a:sym typeface="方正大标宋简体" panose="02010601030101010101" charset="-122"/>
              </a:rPr>
              <a:t>固定资产投资增速（</a:t>
            </a:r>
            <a:r>
              <a:rPr lang="en-US" altLang="zh-CN" sz="1400" b="1" i="0" u="none" strike="noStrike" baseline="0">
                <a:solidFill>
                  <a:srgbClr val="333333"/>
                </a:solidFill>
                <a:latin typeface="方正大标宋简体" panose="02010601030101010101" charset="-122"/>
                <a:ea typeface="方正大标宋简体" panose="02010601030101010101" charset="-122"/>
                <a:cs typeface="方正大标宋简体" panose="02010601030101010101" charset="-122"/>
                <a:sym typeface="方正大标宋简体" panose="02010601030101010101" charset="-122"/>
              </a:rPr>
              <a:t>%</a:t>
            </a:r>
            <a:r>
              <a:rPr sz="1400" b="1" i="0" u="none" strike="noStrike" baseline="0">
                <a:solidFill>
                  <a:srgbClr val="333333"/>
                </a:solidFill>
                <a:latin typeface="方正大标宋简体" panose="02010601030101010101" charset="-122"/>
                <a:ea typeface="方正大标宋简体" panose="02010601030101010101" charset="-122"/>
                <a:cs typeface="方正大标宋简体" panose="02010601030101010101" charset="-122"/>
                <a:sym typeface="方正大标宋简体" panose="02010601030101010101" charset="-122"/>
              </a:rPr>
              <a:t>）</a:t>
            </a:r>
            <a:endParaRPr sz="1200" b="0" i="0" u="none" strike="noStrike" baseline="0">
              <a:solidFill>
                <a:srgbClr val="000000"/>
              </a:solidFill>
              <a:latin typeface="宋体" panose="02010600030101010101" charset="-122"/>
              <a:ea typeface="宋体" panose="02010600030101010101" charset="-122"/>
              <a:cs typeface="宋体" panose="02010600030101010101" charset="-122"/>
              <a:sym typeface="方正大标宋简体" panose="02010601030101010101" charset="-122"/>
            </a:endParaRPr>
          </a:p>
        </c:rich>
      </c:tx>
      <c:layout>
        <c:manualLayout>
          <c:xMode val="edge"/>
          <c:yMode val="edge"/>
          <c:x val="0.390207715133531"/>
          <c:y val="0.014963659683625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27233333333333"/>
          <c:y val="0.22037037037037"/>
          <c:w val="0.8686"/>
          <c:h val="0.562592592592593"/>
        </c:manualLayout>
      </c:layout>
      <c:lineChart>
        <c:grouping val="standard"/>
        <c:varyColors val="0"/>
        <c:ser>
          <c:idx val="0"/>
          <c:order val="0"/>
          <c:tx>
            <c:strRef>
              <c:f>'[濮阳县3月份统计月报（定稿).xls]Sheet2'!$B$1</c:f>
              <c:strCache>
                <c:ptCount val="1"/>
                <c:pt idx="0">
                  <c:v>投资增速</c:v>
                </c:pt>
              </c:strCache>
            </c:strRef>
          </c:tx>
          <c:spPr>
            <a:ln w="28575" cap="rnd" cmpd="sng" algn="ctr">
              <a:solidFill>
                <a:srgbClr val="FF0000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 cap="flat" cmpd="sng" algn="ctr">
                <a:solidFill>
                  <a:schemeClr val="accent1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'[濮阳县3月份统计月报（定稿).xls]Sheet2'!$A$2:$A$14</c:f>
              <c:strCache>
                <c:ptCount val="13"/>
                <c:pt idx="0">
                  <c:v>2022年1-2月</c:v>
                </c:pt>
                <c:pt idx="1">
                  <c:v>1-3月</c:v>
                </c:pt>
                <c:pt idx="2">
                  <c:v>1-4月</c:v>
                </c:pt>
                <c:pt idx="3">
                  <c:v>1-5月</c:v>
                </c:pt>
                <c:pt idx="4">
                  <c:v>1-6月</c:v>
                </c:pt>
                <c:pt idx="5">
                  <c:v>1-7月</c:v>
                </c:pt>
                <c:pt idx="6">
                  <c:v>1-8月</c:v>
                </c:pt>
                <c:pt idx="7">
                  <c:v>1-9月</c:v>
                </c:pt>
                <c:pt idx="8">
                  <c:v>1-10月</c:v>
                </c:pt>
                <c:pt idx="9">
                  <c:v>1-11月</c:v>
                </c:pt>
                <c:pt idx="10">
                  <c:v>1-12月</c:v>
                </c:pt>
                <c:pt idx="11">
                  <c:v>2023年1-2月</c:v>
                </c:pt>
                <c:pt idx="12">
                  <c:v>1-3月</c:v>
                </c:pt>
              </c:strCache>
            </c:strRef>
          </c:cat>
          <c:val>
            <c:numRef>
              <c:f>'[濮阳县3月份统计月报（定稿).xls]Sheet2'!$B$2:$B$14</c:f>
              <c:numCache>
                <c:formatCode>General</c:formatCode>
                <c:ptCount val="13"/>
                <c:pt idx="0">
                  <c:v>36.7</c:v>
                </c:pt>
                <c:pt idx="1">
                  <c:v>20.5</c:v>
                </c:pt>
                <c:pt idx="2">
                  <c:v>15.3</c:v>
                </c:pt>
                <c:pt idx="3">
                  <c:v>10.1</c:v>
                </c:pt>
                <c:pt idx="4">
                  <c:v>3.1</c:v>
                </c:pt>
                <c:pt idx="5">
                  <c:v>7.4</c:v>
                </c:pt>
                <c:pt idx="6">
                  <c:v>12.3</c:v>
                </c:pt>
                <c:pt idx="7">
                  <c:v>14.7</c:v>
                </c:pt>
                <c:pt idx="8">
                  <c:v>14.7</c:v>
                </c:pt>
                <c:pt idx="9">
                  <c:v>14.7</c:v>
                </c:pt>
                <c:pt idx="10">
                  <c:v>18.5</c:v>
                </c:pt>
                <c:pt idx="11">
                  <c:v>7.8</c:v>
                </c:pt>
                <c:pt idx="12">
                  <c:v>0.6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4885504"/>
        <c:axId val="51083037"/>
      </c:lineChart>
      <c:catAx>
        <c:axId val="93488550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1083037"/>
        <c:crosses val="autoZero"/>
        <c:auto val="1"/>
        <c:lblAlgn val="ctr"/>
        <c:lblOffset val="100"/>
        <c:noMultiLvlLbl val="0"/>
      </c:catAx>
      <c:valAx>
        <c:axId val="5108303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3488550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rgbClr val="333333"/>
      </a:solidFill>
      <a:prstDash val="solid"/>
      <a:round/>
    </a:ln>
    <a:effectLst/>
  </c:spPr>
  <c:txPr>
    <a:bodyPr wrap="square"/>
    <a:lstStyle/>
    <a:p>
      <a:pPr>
        <a:defRPr lang="zh-CN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2002</Words>
  <Characters>2219</Characters>
  <Lines>0</Lines>
  <Paragraphs>0</Paragraphs>
  <TotalTime>4</TotalTime>
  <ScaleCrop>false</ScaleCrop>
  <LinksUpToDate>false</LinksUpToDate>
  <CharactersWithSpaces>2226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2021-09-16T07:22:00Z</dcterms:created>
  <dc:creator>Administrator</dc:creator>
  <cp:lastModifiedBy>惟仁</cp:lastModifiedBy>
  <dcterms:modified xsi:type="dcterms:W3CDTF">2023-04-26T00:38:19Z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KSOSaveFontToCloudKey">
    <vt:lpwstr>959829139_btnclosed</vt:lpwstr>
  </property>
  <property fmtid="{D5CDD505-2E9C-101B-9397-08002B2CF9AE}" pid="4" name="ICV">
    <vt:lpwstr>24BC269D045A49F2A5F6C66F0B1056F0_13</vt:lpwstr>
  </property>
</Properties>
</file>