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default" w:ascii="黑体" w:hAnsi="黑体" w:eastAsia="黑体" w:cs="Times New Roman"/>
          <w:sz w:val="44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44"/>
          <w:szCs w:val="32"/>
          <w:lang w:val="en-US" w:eastAsia="zh-CN"/>
        </w:rPr>
        <w:t>一季度</w:t>
      </w:r>
      <w:r>
        <w:rPr>
          <w:rFonts w:hint="eastAsia" w:ascii="黑体" w:hAnsi="黑体" w:eastAsia="黑体" w:cs="Times New Roman"/>
          <w:sz w:val="44"/>
          <w:szCs w:val="32"/>
        </w:rPr>
        <w:t>全县工业生产</w:t>
      </w:r>
      <w:r>
        <w:rPr>
          <w:rFonts w:hint="eastAsia" w:ascii="黑体" w:hAnsi="黑体" w:eastAsia="黑体" w:cs="Times New Roman"/>
          <w:sz w:val="44"/>
          <w:szCs w:val="32"/>
          <w:lang w:val="en-US" w:eastAsia="zh-CN"/>
        </w:rPr>
        <w:t>实现良好开局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今年以来，濮阳县认真贯彻落实党中央、国务院决策部署，</w:t>
      </w:r>
      <w:r>
        <w:rPr>
          <w:rFonts w:hint="default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牢牢把握高质量发展这个首要任务，坚持稳字当头、稳中求进，推动经济运行持续整体好转，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一季度，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全县工业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增速均高于全市、全省平均增速3个点以上，工业生产实现良好开局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rPr>
          <w:rFonts w:hint="eastAsia" w:ascii="Times New Roman" w:hAnsi="Times New Roman" w:eastAsia="仿宋_GB2312" w:cs="Times New Roman"/>
          <w:sz w:val="32"/>
          <w:szCs w:val="32"/>
        </w:rPr>
      </w:pPr>
      <w:r>
        <w:drawing>
          <wp:inline distT="0" distB="0" distL="114300" distR="114300">
            <wp:extent cx="5611495" cy="2611755"/>
            <wp:effectExtent l="0" t="0" r="8255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1495" cy="261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54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一、工业运行情况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楷体_GB2312" w:hAnsi="Times New Roman" w:eastAsia="楷体_GB2312" w:cs="Times New Roman"/>
          <w:sz w:val="32"/>
          <w:szCs w:val="32"/>
        </w:rPr>
        <w:t>（一）工业生产</w:t>
      </w:r>
      <w:r>
        <w:rPr>
          <w:rFonts w:hint="eastAsia" w:ascii="楷体_GB2312" w:hAnsi="Times New Roman" w:eastAsia="楷体_GB2312" w:cs="Times New Roman"/>
          <w:sz w:val="32"/>
          <w:szCs w:val="32"/>
          <w:lang w:val="en-US" w:eastAsia="zh-CN"/>
        </w:rPr>
        <w:t>稳定增长</w:t>
      </w:r>
      <w:r>
        <w:rPr>
          <w:rFonts w:ascii="楷体_GB2312" w:hAnsi="Times New Roman" w:eastAsia="楷体_GB2312" w:cs="Times New Roman"/>
          <w:sz w:val="32"/>
          <w:szCs w:val="32"/>
        </w:rPr>
        <w:t>，效益指标</w:t>
      </w:r>
      <w:r>
        <w:rPr>
          <w:rFonts w:hint="eastAsia" w:ascii="楷体_GB2312" w:hAnsi="Times New Roman" w:eastAsia="楷体_GB2312" w:cs="Times New Roman"/>
          <w:sz w:val="32"/>
          <w:szCs w:val="32"/>
          <w:lang w:val="en-US" w:eastAsia="zh-CN"/>
        </w:rPr>
        <w:t>增速放缓</w:t>
      </w:r>
    </w:p>
    <w:p>
      <w:pPr>
        <w:spacing w:line="540" w:lineRule="exact"/>
        <w:ind w:firstLine="640" w:firstLineChars="200"/>
        <w:rPr>
          <w:color w:val="auto"/>
        </w:rPr>
      </w:pPr>
      <w:r>
        <w:rPr>
          <w:rFonts w:hint="eastAsia" w:ascii="仿宋" w:hAnsi="仿宋" w:eastAsia="仿宋" w:cs="仿宋_GB2312"/>
          <w:color w:val="333333"/>
          <w:sz w:val="32"/>
          <w:szCs w:val="32"/>
          <w:lang w:val="en-US" w:eastAsia="zh-CN"/>
        </w:rPr>
        <w:t>一季度</w:t>
      </w:r>
      <w:r>
        <w:rPr>
          <w:rFonts w:hint="eastAsia" w:ascii="仿宋" w:hAnsi="仿宋" w:eastAsia="仿宋" w:cs="仿宋_GB2312"/>
          <w:color w:val="333333"/>
          <w:sz w:val="32"/>
          <w:szCs w:val="32"/>
        </w:rPr>
        <w:t>，全县1</w:t>
      </w:r>
      <w:r>
        <w:rPr>
          <w:rFonts w:hint="eastAsia" w:ascii="仿宋" w:hAnsi="仿宋" w:eastAsia="仿宋" w:cs="仿宋_GB2312"/>
          <w:color w:val="333333"/>
          <w:sz w:val="32"/>
          <w:szCs w:val="32"/>
          <w:lang w:val="en-US" w:eastAsia="zh-CN"/>
        </w:rPr>
        <w:t>50</w:t>
      </w:r>
      <w:r>
        <w:rPr>
          <w:rFonts w:hint="eastAsia" w:ascii="仿宋" w:hAnsi="仿宋" w:eastAsia="仿宋" w:cs="仿宋_GB2312"/>
          <w:color w:val="333333"/>
          <w:sz w:val="32"/>
          <w:szCs w:val="32"/>
        </w:rPr>
        <w:t>家规模以上工业企业完成增加值</w:t>
      </w:r>
      <w:r>
        <w:rPr>
          <w:rFonts w:hint="eastAsia" w:ascii="仿宋" w:hAnsi="仿宋" w:eastAsia="仿宋" w:cs="仿宋_GB2312"/>
          <w:color w:val="333333"/>
          <w:sz w:val="32"/>
          <w:szCs w:val="32"/>
          <w:lang w:val="en-US" w:eastAsia="zh-CN"/>
        </w:rPr>
        <w:t>8.7</w:t>
      </w:r>
      <w:r>
        <w:rPr>
          <w:rFonts w:hint="eastAsia" w:ascii="仿宋" w:hAnsi="仿宋" w:eastAsia="仿宋" w:cs="仿宋_GB2312"/>
          <w:color w:val="333333"/>
          <w:sz w:val="32"/>
          <w:szCs w:val="32"/>
        </w:rPr>
        <w:t>亿元，同比增长</w:t>
      </w:r>
      <w:r>
        <w:rPr>
          <w:rFonts w:hint="eastAsia" w:ascii="仿宋" w:hAnsi="仿宋" w:eastAsia="仿宋" w:cs="仿宋_GB2312"/>
          <w:color w:val="333333"/>
          <w:sz w:val="32"/>
          <w:szCs w:val="32"/>
          <w:lang w:val="en-US" w:eastAsia="zh-CN"/>
        </w:rPr>
        <w:t>8.2</w:t>
      </w:r>
      <w:r>
        <w:rPr>
          <w:rFonts w:hint="eastAsia" w:ascii="仿宋" w:hAnsi="仿宋" w:eastAsia="仿宋" w:cs="仿宋_GB2312"/>
          <w:color w:val="333333"/>
          <w:sz w:val="32"/>
          <w:szCs w:val="32"/>
        </w:rPr>
        <w:t>%，高出全市平均数（</w:t>
      </w:r>
      <w:r>
        <w:rPr>
          <w:rFonts w:hint="eastAsia" w:ascii="仿宋" w:hAnsi="仿宋" w:eastAsia="仿宋" w:cs="仿宋_GB2312"/>
          <w:color w:val="333333"/>
          <w:sz w:val="32"/>
          <w:szCs w:val="32"/>
          <w:lang w:val="en-US" w:eastAsia="zh-CN"/>
        </w:rPr>
        <w:t>5.0</w:t>
      </w:r>
      <w:r>
        <w:rPr>
          <w:rFonts w:hint="eastAsia" w:ascii="仿宋" w:hAnsi="仿宋" w:eastAsia="仿宋" w:cs="仿宋_GB2312"/>
          <w:color w:val="333333"/>
          <w:sz w:val="32"/>
          <w:szCs w:val="32"/>
        </w:rPr>
        <w:t>%）</w:t>
      </w:r>
      <w:r>
        <w:rPr>
          <w:rFonts w:hint="eastAsia" w:ascii="仿宋" w:hAnsi="仿宋" w:eastAsia="仿宋" w:cs="仿宋_GB2312"/>
          <w:color w:val="333333"/>
          <w:sz w:val="32"/>
          <w:szCs w:val="32"/>
          <w:lang w:val="en-US" w:eastAsia="zh-CN"/>
        </w:rPr>
        <w:t>3.2</w:t>
      </w:r>
      <w:r>
        <w:rPr>
          <w:rFonts w:hint="eastAsia" w:ascii="仿宋" w:hAnsi="仿宋" w:eastAsia="仿宋" w:cs="仿宋_GB2312"/>
          <w:color w:val="333333"/>
          <w:sz w:val="32"/>
          <w:szCs w:val="32"/>
        </w:rPr>
        <w:t>个百分点，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高出全省平均数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（4.2%）4.0个百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分点，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居全市第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位，工业生产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实现良好开局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全县规模以上工业企业实现营业收入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35.2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亿元，同比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下降0.6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%，实现利润总额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1.4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亿元，同比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下降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20.1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%，营业收入利润率达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4.0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%。</w:t>
      </w:r>
    </w:p>
    <w:p>
      <w:pPr>
        <w:spacing w:line="54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楷体_GB2312" w:hAnsi="Times New Roman" w:eastAsia="楷体_GB2312" w:cs="Times New Roman"/>
          <w:sz w:val="32"/>
          <w:szCs w:val="32"/>
        </w:rPr>
        <w:t>（二）制造业较快增长</w:t>
      </w:r>
      <w:r>
        <w:rPr>
          <w:rFonts w:hint="eastAsia" w:ascii="楷体_GB2312" w:hAnsi="Times New Roman" w:eastAsia="楷体_GB2312" w:cs="Times New Roman"/>
          <w:sz w:val="32"/>
          <w:szCs w:val="32"/>
          <w:lang w:eastAsia="zh-CN"/>
        </w:rPr>
        <w:t>，</w:t>
      </w:r>
      <w:r>
        <w:rPr>
          <w:rFonts w:hint="eastAsia" w:ascii="楷体_GB2312" w:hAnsi="Times New Roman" w:eastAsia="楷体_GB2312" w:cs="Times New Roman"/>
          <w:sz w:val="32"/>
          <w:szCs w:val="32"/>
        </w:rPr>
        <w:t>主体地位突出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" w:hAnsi="仿宋" w:eastAsia="仿宋" w:cs="仿宋_GB2312"/>
          <w:color w:val="333333"/>
          <w:sz w:val="32"/>
          <w:szCs w:val="32"/>
          <w:lang w:val="en-US" w:eastAsia="zh-CN"/>
        </w:rPr>
        <w:t>一季度</w:t>
      </w:r>
      <w:r>
        <w:rPr>
          <w:rFonts w:hint="eastAsia" w:ascii="仿宋" w:hAnsi="仿宋" w:eastAsia="仿宋" w:cs="仿宋_GB2312"/>
          <w:color w:val="333333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工业三大门类中，全县制造业增加值完成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7.6</w:t>
      </w:r>
      <w:r>
        <w:rPr>
          <w:rFonts w:ascii="Times New Roman" w:hAnsi="Times New Roman" w:eastAsia="仿宋_GB2312" w:cs="Times New Roman"/>
          <w:sz w:val="32"/>
          <w:szCs w:val="32"/>
        </w:rPr>
        <w:t>亿元，同比增长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7.7</w:t>
      </w:r>
      <w:r>
        <w:rPr>
          <w:rFonts w:ascii="Times New Roman" w:hAnsi="Times New Roman" w:eastAsia="仿宋_GB2312" w:cs="Times New Roman"/>
          <w:sz w:val="32"/>
          <w:szCs w:val="32"/>
        </w:rPr>
        <w:t>%，制造业增加值占规模以上工业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增加值</w:t>
      </w:r>
      <w:r>
        <w:rPr>
          <w:rFonts w:ascii="Times New Roman" w:hAnsi="Times New Roman" w:eastAsia="仿宋_GB2312" w:cs="Times New Roman"/>
          <w:sz w:val="32"/>
          <w:szCs w:val="32"/>
        </w:rPr>
        <w:t>的比重达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8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7.4</w:t>
      </w:r>
      <w:r>
        <w:rPr>
          <w:rFonts w:ascii="Times New Roman" w:hAnsi="Times New Roman" w:eastAsia="仿宋_GB2312" w:cs="Times New Roman"/>
          <w:sz w:val="32"/>
          <w:szCs w:val="32"/>
        </w:rPr>
        <w:t>%，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拉动全县工业增长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6.8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个百分点；电力热力燃气及水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的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生产和供应业增加值完成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1.1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亿元，同比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增长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11.8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%，占规模以上工业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增加值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的比重达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2.6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%，拉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动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全县工业增长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1.4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个百分点。</w:t>
      </w:r>
    </w:p>
    <w:p>
      <w:pPr>
        <w:spacing w:line="540" w:lineRule="exact"/>
        <w:ind w:firstLine="640" w:firstLineChars="200"/>
        <w:rPr>
          <w:rFonts w:hint="default" w:ascii="楷体_GB2312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eastAsia" w:ascii="楷体_GB2312" w:hAnsi="Times New Roman" w:eastAsia="楷体_GB2312" w:cs="Times New Roman"/>
          <w:sz w:val="32"/>
          <w:szCs w:val="32"/>
          <w:lang w:val="en-US" w:eastAsia="zh-CN"/>
        </w:rPr>
        <w:t>（三）产业链优势明显，开发区助推工业发展</w:t>
      </w:r>
    </w:p>
    <w:p>
      <w:pPr>
        <w:ind w:firstLine="640" w:firstLineChars="200"/>
        <w:rPr>
          <w:rFonts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333333"/>
          <w:sz w:val="32"/>
          <w:szCs w:val="32"/>
          <w:lang w:val="en-US" w:eastAsia="zh-CN"/>
        </w:rPr>
        <w:t>一季度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濮阳县先进制造业开发区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57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家工业企业完成工业增加值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6.3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亿元，同比增长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Arial Unicode MS" w:cs="Times New Roman"/>
          <w:color w:val="auto"/>
          <w:kern w:val="0"/>
          <w:sz w:val="32"/>
          <w:szCs w:val="32"/>
          <w:lang w:val="en-US" w:eastAsia="zh-CN"/>
        </w:rPr>
        <w:t>.6</w:t>
      </w:r>
      <w:r>
        <w:rPr>
          <w:rFonts w:hint="eastAsia" w:ascii="Arial Unicode MS" w:hAnsi="Arial Unicode MS" w:eastAsia="Arial Unicode MS" w:cs="Arial Unicode MS"/>
          <w:color w:val="auto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，开发区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工业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增加值对全县工业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增长的贡献率达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50.2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%，拉动全县工业增长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4.1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个百分点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pStyle w:val="2"/>
        <w:ind w:firstLine="640" w:firstLineChars="200"/>
        <w:rPr>
          <w:rFonts w:hint="eastAsia" w:ascii="仿宋_GB2312" w:hAnsi="仿宋_GB2312" w:eastAsia="仿宋_GB2312" w:cs="仿宋_GB2312"/>
          <w:color w:val="0000FF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333333"/>
          <w:sz w:val="32"/>
          <w:szCs w:val="32"/>
          <w:lang w:val="en-US" w:eastAsia="zh-CN"/>
        </w:rPr>
        <w:t>一季度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濮阳县先进制造业开发区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57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家工业企业完成工业总产值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30.4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亿元，同比增长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10.1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%，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完成营业收入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</w:rPr>
        <w:t>24.5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亿元，同比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</w:rPr>
        <w:t>下降6.7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%，实现利润总额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</w:rPr>
        <w:t>0.4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亿元，同比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</w:rPr>
        <w:t>下降-57.2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%。</w:t>
      </w:r>
    </w:p>
    <w:p>
      <w:pPr>
        <w:spacing w:line="540" w:lineRule="exact"/>
        <w:ind w:firstLine="640" w:firstLineChars="200"/>
        <w:rPr>
          <w:rFonts w:hint="default" w:ascii="楷体_GB2312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楷体_GB2312" w:hAnsi="Times New Roman" w:eastAsia="楷体_GB2312" w:cs="Times New Roman"/>
          <w:sz w:val="32"/>
          <w:szCs w:val="32"/>
          <w:lang w:val="en-US" w:eastAsia="zh-CN"/>
        </w:rPr>
        <w:t>（四）</w:t>
      </w:r>
      <w:r>
        <w:rPr>
          <w:rFonts w:hint="eastAsia" w:ascii="楷体_GB2312" w:hAnsi="Times New Roman" w:eastAsia="楷体_GB2312" w:cs="Times New Roman"/>
          <w:sz w:val="32"/>
          <w:szCs w:val="32"/>
          <w:lang w:val="en-US" w:eastAsia="zh-CN"/>
        </w:rPr>
        <w:t>高质量发展新动能不断增强</w:t>
      </w:r>
      <w:r>
        <w:rPr>
          <w:rFonts w:hint="default" w:ascii="楷体_GB2312" w:hAnsi="Times New Roman" w:eastAsia="楷体_GB2312" w:cs="Times New Roman"/>
          <w:sz w:val="32"/>
          <w:szCs w:val="32"/>
          <w:lang w:val="en-US" w:eastAsia="zh-CN"/>
        </w:rPr>
        <w:t>，</w:t>
      </w:r>
      <w:r>
        <w:rPr>
          <w:rFonts w:hint="eastAsia" w:ascii="楷体_GB2312" w:hAnsi="Times New Roman" w:eastAsia="楷体_GB2312" w:cs="Times New Roman"/>
          <w:sz w:val="32"/>
          <w:szCs w:val="32"/>
          <w:lang w:val="en-US" w:eastAsia="zh-CN"/>
        </w:rPr>
        <w:t>引领带动作用</w:t>
      </w:r>
      <w:r>
        <w:rPr>
          <w:rFonts w:hint="default" w:ascii="楷体_GB2312" w:hAnsi="Times New Roman" w:eastAsia="楷体_GB2312" w:cs="Times New Roman"/>
          <w:sz w:val="32"/>
          <w:szCs w:val="32"/>
          <w:lang w:val="en-US" w:eastAsia="zh-CN"/>
        </w:rPr>
        <w:t>突出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40" w:lineRule="exact"/>
        <w:ind w:left="0" w:right="0"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近年来，濮阳县认真落实支持制造业高质量发展的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15</w:t>
      </w:r>
      <w:r>
        <w:rPr>
          <w:rFonts w:hint="default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条政策措施，全县战略性新兴企业数量和规模不断扩大。</w:t>
      </w:r>
      <w:r>
        <w:rPr>
          <w:rFonts w:hint="eastAsia" w:ascii="仿宋" w:hAnsi="仿宋" w:eastAsia="仿宋" w:cs="仿宋_GB2312"/>
          <w:color w:val="333333"/>
          <w:sz w:val="32"/>
          <w:szCs w:val="32"/>
          <w:lang w:val="en-US" w:eastAsia="zh-CN"/>
        </w:rPr>
        <w:t>一季度</w:t>
      </w:r>
      <w:r>
        <w:rPr>
          <w:rFonts w:hint="default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，全县战略性新兴产业完成增加值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4.5</w:t>
      </w:r>
      <w:r>
        <w:rPr>
          <w:rFonts w:hint="default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亿元，同比增长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6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.7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%</w:t>
      </w:r>
      <w:r>
        <w:rPr>
          <w:rFonts w:hint="default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，战略性新兴产业增加值占工业增加值的比重为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51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.8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%</w:t>
      </w:r>
      <w:r>
        <w:rPr>
          <w:rFonts w:hint="default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，对全县工业增长的贡献率达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43.5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%</w:t>
      </w:r>
      <w:r>
        <w:rPr>
          <w:rFonts w:hint="default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，拉动全县工业增长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3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.6</w:t>
      </w:r>
      <w:r>
        <w:rPr>
          <w:rFonts w:hint="default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个百分点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;</w:t>
      </w:r>
      <w:r>
        <w:rPr>
          <w:rFonts w:hint="default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全县高新技术产业完成增加值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6.0</w:t>
      </w:r>
      <w:r>
        <w:rPr>
          <w:rFonts w:hint="default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亿元，同比增长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10.1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%</w:t>
      </w:r>
      <w:r>
        <w:rPr>
          <w:rFonts w:hint="default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，高新技术产业增加值占工业增加值的比重为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69.1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%</w:t>
      </w:r>
      <w:r>
        <w:rPr>
          <w:rFonts w:hint="default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，对全县工业增长的贡献率达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84.6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%</w:t>
      </w:r>
      <w:r>
        <w:rPr>
          <w:rFonts w:hint="default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，拉动全县工业增长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6.9</w:t>
      </w:r>
      <w:r>
        <w:rPr>
          <w:rFonts w:hint="default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个百分点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;</w:t>
      </w:r>
      <w:r>
        <w:rPr>
          <w:rFonts w:hint="default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全县高技术产业完成增加值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0.4</w:t>
      </w:r>
      <w:r>
        <w:rPr>
          <w:rFonts w:hint="default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亿元，同比增长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-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3.4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%</w:t>
      </w:r>
      <w:r>
        <w:rPr>
          <w:rFonts w:hint="default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，高技术产业增加值占工业增加值的比重为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4.8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%</w:t>
      </w:r>
      <w:r>
        <w:rPr>
          <w:rFonts w:hint="default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，对全县工业增长的贡献率达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-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2.0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%</w:t>
      </w:r>
      <w:r>
        <w:rPr>
          <w:rFonts w:hint="default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，拉动全县工业增长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-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0.2</w:t>
      </w:r>
      <w:r>
        <w:rPr>
          <w:rFonts w:hint="default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个百分点。</w:t>
      </w:r>
    </w:p>
    <w:p>
      <w:pPr>
        <w:spacing w:line="540" w:lineRule="exact"/>
        <w:ind w:firstLine="640" w:firstLineChars="200"/>
        <w:rPr>
          <w:rFonts w:ascii="楷体_GB2312" w:hAnsi="Times New Roman" w:eastAsia="楷体_GB2312" w:cs="Times New Roman"/>
          <w:sz w:val="32"/>
          <w:szCs w:val="32"/>
          <w:highlight w:val="none"/>
        </w:rPr>
      </w:pPr>
      <w:r>
        <w:rPr>
          <w:rFonts w:hint="eastAsia" w:ascii="楷体_GB2312" w:hAnsi="Times New Roman" w:eastAsia="楷体_GB2312" w:cs="Times New Roman"/>
          <w:sz w:val="32"/>
          <w:szCs w:val="32"/>
          <w:highlight w:val="none"/>
        </w:rPr>
        <w:t>（</w:t>
      </w:r>
      <w:r>
        <w:rPr>
          <w:rFonts w:hint="eastAsia" w:ascii="楷体_GB2312" w:hAnsi="Times New Roman" w:eastAsia="楷体_GB2312" w:cs="Times New Roman"/>
          <w:sz w:val="32"/>
          <w:szCs w:val="32"/>
          <w:highlight w:val="none"/>
          <w:lang w:eastAsia="zh-CN"/>
        </w:rPr>
        <w:t>五</w:t>
      </w:r>
      <w:r>
        <w:rPr>
          <w:rFonts w:hint="eastAsia" w:ascii="楷体_GB2312" w:hAnsi="Times New Roman" w:eastAsia="楷体_GB2312" w:cs="Times New Roman"/>
          <w:sz w:val="32"/>
          <w:szCs w:val="32"/>
          <w:highlight w:val="none"/>
        </w:rPr>
        <w:t>）新入库企业的拉动作用明显</w:t>
      </w:r>
    </w:p>
    <w:p>
      <w:pPr>
        <w:spacing w:line="540" w:lineRule="exact"/>
        <w:ind w:firstLine="640" w:firstLineChars="200"/>
        <w:rPr>
          <w:color w:val="000000" w:themeColor="text1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近几年来，濮阳县将抓好工业企业培育入库作为提升经济总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</w:rPr>
        <w:t>量和增速的重要途径，县政府多次召集统计、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</w:rPr>
        <w:t>工信、税务等部门安排部署工业企业入库工作，做到“应入尽入、应统尽统”。</w:t>
      </w:r>
      <w:r>
        <w:rPr>
          <w:rFonts w:hint="eastAsia" w:ascii="仿宋" w:hAnsi="仿宋" w:eastAsia="仿宋" w:cs="仿宋_GB2312"/>
          <w:color w:val="333333"/>
          <w:sz w:val="32"/>
          <w:szCs w:val="32"/>
          <w:lang w:val="en-US" w:eastAsia="zh-CN"/>
        </w:rPr>
        <w:t>一季度</w:t>
      </w:r>
      <w:r>
        <w:rPr>
          <w:rFonts w:hint="eastAsia" w:ascii="仿宋" w:hAnsi="仿宋" w:eastAsia="仿宋" w:cs="仿宋_GB2312"/>
          <w:color w:val="333333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</w:rPr>
        <w:t>全县工业企业新增入库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</w:rPr>
        <w:t>19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</w:rPr>
        <w:t>家，较上年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</w:rPr>
        <w:t>净增16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</w:rPr>
        <w:t>家，新入库企业完成增加值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</w:rPr>
        <w:t>0.8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</w:rPr>
        <w:t>亿元，占全县工业增加值总量的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</w:rPr>
        <w:t>9.1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</w:rPr>
        <w:t>%，对全县工业增长的贡献率达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</w:rPr>
        <w:t>35.2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</w:rPr>
        <w:t>%，拉动全县工业增长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</w:rPr>
        <w:t>2.9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</w:rPr>
        <w:t>个百分点。</w:t>
      </w:r>
    </w:p>
    <w:p>
      <w:pPr>
        <w:spacing w:line="540" w:lineRule="exact"/>
        <w:ind w:firstLine="640" w:firstLineChars="200"/>
        <w:rPr>
          <w:rFonts w:ascii="楷体_GB2312" w:hAnsi="Times New Roman" w:eastAsia="楷体_GB2312" w:cs="Times New Roman"/>
          <w:sz w:val="32"/>
          <w:szCs w:val="32"/>
          <w:highlight w:val="none"/>
        </w:rPr>
      </w:pPr>
      <w:r>
        <w:rPr>
          <w:rFonts w:hint="eastAsia" w:ascii="楷体_GB2312" w:hAnsi="Times New Roman" w:eastAsia="楷体_GB2312" w:cs="Times New Roman"/>
          <w:sz w:val="32"/>
          <w:szCs w:val="32"/>
          <w:highlight w:val="none"/>
        </w:rPr>
        <w:t>（</w:t>
      </w:r>
      <w:r>
        <w:rPr>
          <w:rFonts w:hint="eastAsia" w:ascii="楷体_GB2312" w:hAnsi="Times New Roman" w:eastAsia="楷体_GB2312" w:cs="Times New Roman"/>
          <w:sz w:val="32"/>
          <w:szCs w:val="32"/>
          <w:highlight w:val="none"/>
          <w:lang w:eastAsia="zh-CN"/>
        </w:rPr>
        <w:t>六</w:t>
      </w:r>
      <w:r>
        <w:rPr>
          <w:rFonts w:hint="eastAsia" w:ascii="楷体_GB2312" w:hAnsi="Times New Roman" w:eastAsia="楷体_GB2312" w:cs="Times New Roman"/>
          <w:sz w:val="32"/>
          <w:szCs w:val="32"/>
          <w:highlight w:val="none"/>
        </w:rPr>
        <w:t>）工业相关指标支撑力强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一季度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</w:rPr>
        <w:t>濮阳县全社会用电量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</w:rPr>
        <w:t>5.31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</w:rPr>
        <w:t>亿千瓦时，同比增长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</w:rPr>
        <w:t>8.2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</w:rPr>
        <w:t>%，其中工业用电量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</w:rPr>
        <w:t>1.68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</w:rPr>
        <w:t>亿千瓦时，同比增长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</w:rPr>
        <w:t>17.0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</w:rPr>
        <w:t>；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</w:rPr>
        <w:t>全县工业税收完成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</w:rPr>
        <w:t>1.56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</w:rPr>
        <w:t>亿元，同比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</w:rPr>
        <w:t>增长27.0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</w:rPr>
        <w:t>%。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ascii="黑体" w:hAnsi="黑体" w:eastAsia="黑体" w:cs="Times New Roman"/>
          <w:color w:val="000000" w:themeColor="text1"/>
          <w:sz w:val="32"/>
          <w:szCs w:val="32"/>
        </w:rPr>
      </w:pPr>
      <w:r>
        <w:rPr>
          <w:rFonts w:hint="eastAsia" w:ascii="黑体" w:hAnsi="黑体" w:eastAsia="黑体" w:cs="Times New Roman"/>
          <w:color w:val="000000" w:themeColor="text1"/>
          <w:sz w:val="32"/>
          <w:szCs w:val="32"/>
          <w:lang w:val="en-US" w:eastAsia="zh-CN"/>
        </w:rPr>
        <w:t>二、</w:t>
      </w:r>
      <w:r>
        <w:rPr>
          <w:rFonts w:ascii="黑体" w:hAnsi="黑体" w:eastAsia="黑体" w:cs="Times New Roman"/>
          <w:color w:val="000000" w:themeColor="text1"/>
          <w:sz w:val="32"/>
          <w:szCs w:val="32"/>
        </w:rPr>
        <w:t>工业运行中存在的问题</w:t>
      </w:r>
    </w:p>
    <w:p>
      <w:pPr>
        <w:spacing w:line="540" w:lineRule="exact"/>
        <w:ind w:firstLine="640" w:firstLineChars="200"/>
        <w:rPr>
          <w:rFonts w:hint="eastAsia" w:ascii="楷体_GB2312" w:hAnsi="Times New Roman" w:eastAsia="楷体_GB2312" w:cs="Times New Roman"/>
          <w:color w:val="000000" w:themeColor="text1"/>
          <w:sz w:val="32"/>
          <w:szCs w:val="32"/>
          <w:highlight w:val="none"/>
          <w:lang w:val="en-US" w:eastAsia="zh-CN"/>
        </w:rPr>
      </w:pPr>
      <w:r>
        <w:rPr>
          <w:rFonts w:hint="default" w:ascii="楷体_GB2312" w:hAnsi="Times New Roman" w:eastAsia="楷体_GB2312" w:cs="Times New Roman"/>
          <w:color w:val="000000" w:themeColor="text1"/>
          <w:sz w:val="32"/>
          <w:szCs w:val="32"/>
          <w:highlight w:val="none"/>
          <w:lang w:val="en-US" w:eastAsia="zh-CN"/>
        </w:rPr>
        <w:t>(</w:t>
      </w:r>
      <w:r>
        <w:rPr>
          <w:rFonts w:hint="eastAsia" w:ascii="楷体_GB2312" w:hAnsi="Times New Roman" w:eastAsia="楷体_GB2312" w:cs="Times New Roman"/>
          <w:color w:val="000000" w:themeColor="text1"/>
          <w:sz w:val="32"/>
          <w:szCs w:val="32"/>
          <w:highlight w:val="none"/>
          <w:lang w:val="en-US" w:eastAsia="zh-CN"/>
        </w:rPr>
        <w:t>一）个别重点企业生产经营压力增大、停产、半停产，对全县工业的增速影响较大</w:t>
      </w:r>
    </w:p>
    <w:p>
      <w:pPr>
        <w:widowControl w:val="0"/>
        <w:spacing w:line="560" w:lineRule="exact"/>
        <w:ind w:firstLine="640" w:firstLineChars="200"/>
        <w:textAlignment w:val="auto"/>
        <w:rPr>
          <w:rFonts w:hint="eastAsia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受国际地缘政治冲突、生产成本上涨等因素影响，部分企业生产效益下滑。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濮阳林氏医疗制品有限公司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停产，</w:t>
      </w:r>
      <w:r>
        <w:rPr>
          <w:rFonts w:hint="eastAsia" w:ascii="仿宋" w:hAnsi="仿宋" w:eastAsia="仿宋" w:cs="仿宋_GB2312"/>
          <w:color w:val="333333"/>
          <w:sz w:val="32"/>
          <w:szCs w:val="32"/>
          <w:lang w:val="en-US" w:eastAsia="zh-CN"/>
        </w:rPr>
        <w:t>一季度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下拉全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</w:rPr>
        <w:t>县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工业增速1.9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个百分点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</w:rPr>
        <w:t xml:space="preserve">。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 xml:space="preserve"> </w:t>
      </w:r>
    </w:p>
    <w:p>
      <w:pPr>
        <w:widowControl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_GB2312"/>
          <w:color w:val="333333"/>
          <w:sz w:val="32"/>
          <w:szCs w:val="32"/>
          <w:lang w:val="en-US" w:eastAsia="zh-CN"/>
        </w:rPr>
        <w:t>一季度</w:t>
      </w:r>
      <w:r>
        <w:rPr>
          <w:rFonts w:hint="eastAsia" w:ascii="仿宋" w:hAnsi="仿宋" w:eastAsia="仿宋" w:cs="仿宋_GB2312"/>
          <w:color w:val="333333"/>
          <w:sz w:val="32"/>
          <w:szCs w:val="32"/>
        </w:rPr>
        <w:t>，</w:t>
      </w:r>
      <w:r>
        <w:rPr>
          <w:rFonts w:hint="eastAsia" w:ascii="仿宋" w:hAnsi="仿宋" w:eastAsia="仿宋" w:cs="仿宋_GB2312"/>
          <w:color w:val="333333"/>
          <w:sz w:val="32"/>
          <w:szCs w:val="32"/>
          <w:lang w:val="en-US" w:eastAsia="zh-CN"/>
        </w:rPr>
        <w:t>浩森生物、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蔚林新材料、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训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达粮油、中建材、林氏化学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收入分别下降36.7%、6.9%、13.8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%、30.7%、29.3%，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</w:rPr>
        <w:t>以上几家大企业对全县工业营业收入增速影响较大。</w:t>
      </w:r>
    </w:p>
    <w:p>
      <w:pPr>
        <w:widowControl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color w:val="333333"/>
          <w:sz w:val="32"/>
          <w:szCs w:val="32"/>
          <w:lang w:val="en-US" w:eastAsia="zh-CN"/>
        </w:rPr>
        <w:t>一季度</w:t>
      </w:r>
      <w:r>
        <w:rPr>
          <w:rFonts w:hint="eastAsia" w:ascii="仿宋" w:hAnsi="仿宋" w:eastAsia="仿宋" w:cs="仿宋_GB2312"/>
          <w:color w:val="333333"/>
          <w:sz w:val="32"/>
          <w:szCs w:val="32"/>
        </w:rPr>
        <w:t>，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濮耐集团、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蔚林新材料、浩森生物、林氏化学几家企业利润总额分别下降47.9%、329.0%、184.9%、67.6%，以上几家企业对全县工业利润总额增速影响较大。</w:t>
      </w:r>
    </w:p>
    <w:p>
      <w:pPr>
        <w:spacing w:line="540" w:lineRule="exact"/>
        <w:ind w:firstLine="640" w:firstLineChars="200"/>
        <w:rPr>
          <w:rFonts w:hint="eastAsia" w:ascii="楷体_GB2312" w:hAnsi="Times New Roman" w:eastAsia="楷体_GB2312" w:cs="Times New Roman"/>
          <w:color w:val="000000" w:themeColor="text1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Times New Roman" w:eastAsia="楷体_GB2312" w:cs="Times New Roman"/>
          <w:color w:val="000000" w:themeColor="text1"/>
          <w:sz w:val="32"/>
          <w:szCs w:val="32"/>
          <w:highlight w:val="none"/>
          <w:lang w:val="en-US" w:eastAsia="zh-CN"/>
        </w:rPr>
        <w:t>(二）大宗商品价格对工业的影响依然较大，工业生产形势不容乐观</w:t>
      </w:r>
    </w:p>
    <w:p>
      <w:pPr>
        <w:pStyle w:val="2"/>
        <w:ind w:firstLine="640" w:firstLineChars="200"/>
        <w:rPr>
          <w:rFonts w:hint="eastAsia" w:ascii="楷体_GB2312" w:hAnsi="Times New Roman" w:eastAsia="楷体_GB2312" w:cs="Times New Roman"/>
          <w:color w:val="000000" w:themeColor="text1"/>
          <w:kern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color w:val="000000" w:themeColor="text1"/>
          <w:kern w:val="2"/>
          <w:sz w:val="32"/>
          <w:szCs w:val="32"/>
          <w:lang w:val="en-US" w:eastAsia="zh-CN" w:bidi="ar"/>
        </w:rPr>
        <w:t>当前全球通胀走高，大宗商品价格高位波动，不断推升工业企业的生产经营成本，全县工业企业生产经营压力较大,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工业产值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增速下降企业占比较大，影响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工业快速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增长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一季度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全县1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50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家规上工业企业完成工业总产值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42.7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亿元，同比增长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12.8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%，其中产值增速超20%的快速增长企业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家，增速在10%—20%的增速放缓企业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13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家，增速在0%—10%的稳定持平企业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家，产值下降的企业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/>
        </w:rPr>
        <w:t>52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家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产值下降企业占比达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34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%。</w:t>
      </w:r>
      <w:r>
        <w:rPr>
          <w:rFonts w:hint="eastAsia" w:ascii="楷体_GB2312" w:hAnsi="Times New Roman" w:eastAsia="楷体_GB2312" w:cs="Times New Roman"/>
          <w:color w:val="000000" w:themeColor="text1"/>
          <w:kern w:val="0"/>
          <w:sz w:val="32"/>
          <w:szCs w:val="32"/>
          <w:lang w:val="en-US" w:eastAsia="zh-CN"/>
        </w:rPr>
        <w:t xml:space="preserve"> </w:t>
      </w:r>
    </w:p>
    <w:p>
      <w:pPr>
        <w:pStyle w:val="2"/>
        <w:ind w:firstLine="640" w:firstLineChars="200"/>
        <w:rPr>
          <w:rFonts w:hint="eastAsia" w:ascii="楷体_GB2312" w:hAnsi="Times New Roman" w:eastAsia="楷体_GB2312" w:cs="Times New Roman"/>
          <w:color w:val="000000" w:themeColor="text1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Times New Roman" w:eastAsia="楷体_GB2312" w:cs="Times New Roman"/>
          <w:color w:val="000000" w:themeColor="text1"/>
          <w:sz w:val="32"/>
          <w:szCs w:val="32"/>
          <w:highlight w:val="none"/>
          <w:lang w:val="en-US" w:eastAsia="zh-CN"/>
        </w:rPr>
        <w:t>(三）全县工业增长对大企业依赖性较强，稳增长压力依然较大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一季度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全县20家亿元以上大中型企业完成产值29.7亿元，占规模以上工业总产值的69.5%。从企业看1-3月份拉动全县工业总产值增速在1个百分点以上的企业仅有5家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，其中蔚林新材料、华能清洁能源、豫粮凯利来食品、濮耐高温集团、天顺新能源分别拉动全县工业产值增速1.5、1.7、1.1、1.9、1.2个百分点。</w:t>
      </w:r>
    </w:p>
    <w:p>
      <w:pPr>
        <w:pStyle w:val="11"/>
        <w:ind w:firstLine="640" w:firstLineChars="200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hint="eastAsia" w:ascii="楷体_GB2312" w:hAnsi="Times New Roman" w:eastAsia="楷体_GB2312" w:cs="Times New Roman"/>
          <w:sz w:val="32"/>
          <w:szCs w:val="32"/>
        </w:rPr>
        <w:t>（</w:t>
      </w:r>
      <w:r>
        <w:rPr>
          <w:rFonts w:hint="eastAsia" w:ascii="楷体_GB2312" w:eastAsia="楷体_GB2312" w:cs="Times New Roman"/>
          <w:sz w:val="32"/>
          <w:szCs w:val="32"/>
          <w:lang w:val="en-US" w:eastAsia="zh-CN"/>
        </w:rPr>
        <w:t>四</w:t>
      </w:r>
      <w:r>
        <w:rPr>
          <w:rFonts w:hint="eastAsia" w:ascii="楷体_GB2312" w:hAnsi="Times New Roman" w:eastAsia="楷体_GB2312" w:cs="Times New Roman"/>
          <w:sz w:val="32"/>
          <w:szCs w:val="32"/>
        </w:rPr>
        <w:t>）企业研发投入较少</w:t>
      </w:r>
    </w:p>
    <w:p>
      <w:pPr>
        <w:spacing w:line="540" w:lineRule="exact"/>
        <w:ind w:firstLine="640" w:firstLineChars="200"/>
      </w:pPr>
      <w:r>
        <w:rPr>
          <w:rFonts w:hint="eastAsia" w:ascii="仿宋" w:hAnsi="仿宋" w:eastAsia="仿宋" w:cs="仿宋_GB2312"/>
          <w:color w:val="333333"/>
          <w:sz w:val="32"/>
          <w:szCs w:val="32"/>
          <w:lang w:val="en-US" w:eastAsia="zh-CN"/>
        </w:rPr>
        <w:t>一季度</w:t>
      </w:r>
      <w:r>
        <w:rPr>
          <w:rFonts w:ascii="Times New Roman" w:hAnsi="Times New Roman" w:eastAsia="仿宋_GB2312"/>
          <w:color w:val="000000" w:themeColor="text1"/>
          <w:sz w:val="32"/>
          <w:szCs w:val="32"/>
        </w:rPr>
        <w:t>，全县1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  <w:t>50</w:t>
      </w:r>
      <w:r>
        <w:rPr>
          <w:rFonts w:ascii="Times New Roman" w:hAnsi="Times New Roman" w:eastAsia="仿宋_GB2312"/>
          <w:color w:val="000000" w:themeColor="text1"/>
          <w:sz w:val="32"/>
          <w:szCs w:val="32"/>
        </w:rPr>
        <w:t>家规模以上工业企业中有研发费用的企业共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2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仿宋_GB2312"/>
          <w:color w:val="000000" w:themeColor="text1"/>
          <w:sz w:val="32"/>
          <w:szCs w:val="32"/>
        </w:rPr>
        <w:t>家，占比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  <w:t>14</w:t>
      </w:r>
      <w:r>
        <w:rPr>
          <w:rFonts w:ascii="Times New Roman" w:hAnsi="Times New Roman" w:eastAsia="仿宋_GB2312"/>
          <w:color w:val="000000" w:themeColor="text1"/>
          <w:sz w:val="32"/>
          <w:szCs w:val="32"/>
        </w:rPr>
        <w:t>.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/>
          <w:color w:val="000000" w:themeColor="text1"/>
          <w:sz w:val="32"/>
          <w:szCs w:val="32"/>
        </w:rPr>
        <w:t>%，研发投入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  <w:t>0.47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亿</w:t>
      </w:r>
      <w:r>
        <w:rPr>
          <w:rFonts w:ascii="Times New Roman" w:hAnsi="Times New Roman" w:eastAsia="仿宋_GB2312"/>
          <w:color w:val="000000" w:themeColor="text1"/>
          <w:sz w:val="32"/>
          <w:szCs w:val="32"/>
        </w:rPr>
        <w:t>元，同比增长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  <w:t>3.9</w:t>
      </w:r>
      <w:r>
        <w:rPr>
          <w:rFonts w:ascii="Times New Roman" w:hAnsi="Times New Roman" w:eastAsia="仿宋_GB2312"/>
          <w:color w:val="000000" w:themeColor="text1"/>
          <w:sz w:val="32"/>
          <w:szCs w:val="32"/>
        </w:rPr>
        <w:t>%，占营业收入的比重为1.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/>
          <w:color w:val="000000" w:themeColor="text1"/>
          <w:sz w:val="32"/>
          <w:szCs w:val="32"/>
        </w:rPr>
        <w:t>%。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 xml:space="preserve">研发投入较少的主要原因，一是目前全县工业产品主要是低端产品，科技含量不高，企业经营者没有自主创新研发的意识；二是受资金、人才、技术等各方面制约，企业没有科技研发的能力。 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</w:rPr>
        <w:t>对工业运行的建议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目前国内外环境复杂严峻，不确定不稳定因素依然较多，全县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工业</w:t>
      </w:r>
      <w:r>
        <w:rPr>
          <w:rFonts w:hint="default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经济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持续恢复增长的基础仍不稳固</w:t>
      </w:r>
      <w:r>
        <w:rPr>
          <w:rFonts w:hint="default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全县上下仍需聚焦助力工业经济发展，精准施策、靶向发力，奋力跑出高质量发展加速度。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 w:firstLine="640" w:firstLineChars="200"/>
        <w:jc w:val="both"/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（一）持续推进小微企业的帮扶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4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一是加强政府引导，激发小微企业创新动力和活力。全县上下要不断深化“放管服”改革，积极营造企业创新外部环境。建立健全小微企业创新政策帮扶机制，积极推动小微企业资金融通、物流畅通、人才汇聚政策保障，不断激发企业创新动力和活力。二是打造小微企业“产学研”合作体系，助力企业提高市场竞争力。充分利用高等院校、科研机构的研发优势，支持校企联合，加快“产学研”成果的转化与应用。三是以乡村振兴战略为契机，促进小微企业发展与产业发展、乡村发展有机融合，不断提升小微企业经济实力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 w:firstLine="640" w:firstLineChars="200"/>
        <w:jc w:val="both"/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(二）强化部门联动，持续抓好新增入库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right="0" w:firstLine="640" w:firstLineChars="200"/>
        <w:jc w:val="left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统计、工信、税务等部门和乡镇要对全县企业和项目全面摸排，聚焦新项目、新企业等新增因素，强化要素保障，推动项目如期竣工、企业尽快投产达效，同时做好统计服务，及时入库纳统，为工业经济发展提供有力支撑。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right="0" w:firstLine="640" w:firstLineChars="200"/>
        <w:jc w:val="left"/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 xml:space="preserve"> (三）紧盯下拉因素做好运行监测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right="0" w:firstLine="640" w:firstLineChars="200"/>
        <w:jc w:val="left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围绕当前工业经济运行中存在的下拉因素和风险因素，做好分析监测。对停产减产企业开展精准帮扶、助企纾困、尽快复产达产；对运行中潜在风险因素加强会商研判、找准对策、及时扭转不利局面，持续巩固全县经济回升向良好态势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sectPr>
      <w:footerReference r:id="rId3" w:type="default"/>
      <w:footerReference r:id="rId4" w:type="even"/>
      <w:pgSz w:w="11906" w:h="16838"/>
      <w:pgMar w:top="2211" w:right="1531" w:bottom="1871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0006993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5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4 -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76535702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5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2 -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ljOTZjM2Y0OGIwMDlmNjQ0Yzg5YjdhNTE0MjkyNjEifQ=="/>
  </w:docVars>
  <w:rsids>
    <w:rsidRoot w:val="00A75DCE"/>
    <w:rsid w:val="0015639A"/>
    <w:rsid w:val="003F2C94"/>
    <w:rsid w:val="003F74EE"/>
    <w:rsid w:val="004A52BA"/>
    <w:rsid w:val="005F48CE"/>
    <w:rsid w:val="006433C8"/>
    <w:rsid w:val="006E4A62"/>
    <w:rsid w:val="00816E51"/>
    <w:rsid w:val="00900289"/>
    <w:rsid w:val="009D0B13"/>
    <w:rsid w:val="00A11D62"/>
    <w:rsid w:val="00A75DCE"/>
    <w:rsid w:val="00A83AD0"/>
    <w:rsid w:val="00AD4B0B"/>
    <w:rsid w:val="00B31FD1"/>
    <w:rsid w:val="00B33305"/>
    <w:rsid w:val="00BA760D"/>
    <w:rsid w:val="00BB3145"/>
    <w:rsid w:val="00C57718"/>
    <w:rsid w:val="00C91C7E"/>
    <w:rsid w:val="00CC0EA8"/>
    <w:rsid w:val="00CD6A80"/>
    <w:rsid w:val="00CF27B1"/>
    <w:rsid w:val="00D32652"/>
    <w:rsid w:val="00D86DA4"/>
    <w:rsid w:val="00E32D5A"/>
    <w:rsid w:val="00E57A7B"/>
    <w:rsid w:val="00EB39F1"/>
    <w:rsid w:val="00F26FCC"/>
    <w:rsid w:val="00F36469"/>
    <w:rsid w:val="00FA3C97"/>
    <w:rsid w:val="00FF57BC"/>
    <w:rsid w:val="0155771E"/>
    <w:rsid w:val="017E6156"/>
    <w:rsid w:val="01805C93"/>
    <w:rsid w:val="01AC06D6"/>
    <w:rsid w:val="01B80A3A"/>
    <w:rsid w:val="01FF0041"/>
    <w:rsid w:val="020479FF"/>
    <w:rsid w:val="020B7BB7"/>
    <w:rsid w:val="02123979"/>
    <w:rsid w:val="02727B16"/>
    <w:rsid w:val="029C43D5"/>
    <w:rsid w:val="02AD184E"/>
    <w:rsid w:val="03650313"/>
    <w:rsid w:val="036E32E5"/>
    <w:rsid w:val="03B320F7"/>
    <w:rsid w:val="03B94246"/>
    <w:rsid w:val="04043713"/>
    <w:rsid w:val="04056EB8"/>
    <w:rsid w:val="040634E8"/>
    <w:rsid w:val="042518DB"/>
    <w:rsid w:val="04806B11"/>
    <w:rsid w:val="04975C38"/>
    <w:rsid w:val="04AF25FE"/>
    <w:rsid w:val="050326AD"/>
    <w:rsid w:val="050905EF"/>
    <w:rsid w:val="05407111"/>
    <w:rsid w:val="0552583E"/>
    <w:rsid w:val="059A2623"/>
    <w:rsid w:val="05AE3DE5"/>
    <w:rsid w:val="05FA7E0D"/>
    <w:rsid w:val="060914B4"/>
    <w:rsid w:val="0633746A"/>
    <w:rsid w:val="06351708"/>
    <w:rsid w:val="063B1B70"/>
    <w:rsid w:val="06B412C2"/>
    <w:rsid w:val="06BF3FA4"/>
    <w:rsid w:val="06C55C13"/>
    <w:rsid w:val="07031C4F"/>
    <w:rsid w:val="07AA2EC9"/>
    <w:rsid w:val="07E34144"/>
    <w:rsid w:val="08007FEC"/>
    <w:rsid w:val="08242C0C"/>
    <w:rsid w:val="08573C6F"/>
    <w:rsid w:val="08597DA5"/>
    <w:rsid w:val="086D171A"/>
    <w:rsid w:val="08AB27F5"/>
    <w:rsid w:val="08BF22CD"/>
    <w:rsid w:val="08C648F6"/>
    <w:rsid w:val="08E67DC6"/>
    <w:rsid w:val="08E96A5C"/>
    <w:rsid w:val="0903624B"/>
    <w:rsid w:val="091E2940"/>
    <w:rsid w:val="09304FAA"/>
    <w:rsid w:val="09403DD0"/>
    <w:rsid w:val="0953558A"/>
    <w:rsid w:val="09797D06"/>
    <w:rsid w:val="098F1A84"/>
    <w:rsid w:val="09916EF4"/>
    <w:rsid w:val="09C120A6"/>
    <w:rsid w:val="09E95DBC"/>
    <w:rsid w:val="09EA6F07"/>
    <w:rsid w:val="0A016FD0"/>
    <w:rsid w:val="0A357224"/>
    <w:rsid w:val="0A8B1B17"/>
    <w:rsid w:val="0B0246BD"/>
    <w:rsid w:val="0B047950"/>
    <w:rsid w:val="0B057D70"/>
    <w:rsid w:val="0B21284E"/>
    <w:rsid w:val="0B3F1000"/>
    <w:rsid w:val="0B6351F6"/>
    <w:rsid w:val="0B662015"/>
    <w:rsid w:val="0B67390C"/>
    <w:rsid w:val="0BCA3494"/>
    <w:rsid w:val="0BCD6AE0"/>
    <w:rsid w:val="0BD10FD4"/>
    <w:rsid w:val="0BD127B7"/>
    <w:rsid w:val="0BD768CE"/>
    <w:rsid w:val="0BEF4CA9"/>
    <w:rsid w:val="0C540FAF"/>
    <w:rsid w:val="0C9910B8"/>
    <w:rsid w:val="0C9F2136"/>
    <w:rsid w:val="0CAD06C0"/>
    <w:rsid w:val="0D49488C"/>
    <w:rsid w:val="0D6214AA"/>
    <w:rsid w:val="0D924440"/>
    <w:rsid w:val="0D95362E"/>
    <w:rsid w:val="0DAB41C7"/>
    <w:rsid w:val="0DC8391D"/>
    <w:rsid w:val="0DD9649C"/>
    <w:rsid w:val="0DEA7BA1"/>
    <w:rsid w:val="0DF448B2"/>
    <w:rsid w:val="0E0F4DBC"/>
    <w:rsid w:val="0E695750"/>
    <w:rsid w:val="0E8B0DA9"/>
    <w:rsid w:val="0E9F3FC6"/>
    <w:rsid w:val="0EA646CE"/>
    <w:rsid w:val="0EC341CA"/>
    <w:rsid w:val="0EEB71F8"/>
    <w:rsid w:val="0F052A35"/>
    <w:rsid w:val="0F506E6D"/>
    <w:rsid w:val="0F7F4595"/>
    <w:rsid w:val="0FC1554D"/>
    <w:rsid w:val="0FF02D9D"/>
    <w:rsid w:val="101A25D1"/>
    <w:rsid w:val="102A0947"/>
    <w:rsid w:val="10354C54"/>
    <w:rsid w:val="105310F8"/>
    <w:rsid w:val="106D63B9"/>
    <w:rsid w:val="108E4BB9"/>
    <w:rsid w:val="10B565D2"/>
    <w:rsid w:val="10E22999"/>
    <w:rsid w:val="11103D38"/>
    <w:rsid w:val="111D159B"/>
    <w:rsid w:val="11270A41"/>
    <w:rsid w:val="1135674F"/>
    <w:rsid w:val="113C3726"/>
    <w:rsid w:val="11692E07"/>
    <w:rsid w:val="11B95218"/>
    <w:rsid w:val="125139D1"/>
    <w:rsid w:val="126006AE"/>
    <w:rsid w:val="128123D2"/>
    <w:rsid w:val="12AD2358"/>
    <w:rsid w:val="12B26899"/>
    <w:rsid w:val="12B86878"/>
    <w:rsid w:val="12EE69F7"/>
    <w:rsid w:val="13392CAD"/>
    <w:rsid w:val="1341675D"/>
    <w:rsid w:val="13632DCA"/>
    <w:rsid w:val="13C12E17"/>
    <w:rsid w:val="14763522"/>
    <w:rsid w:val="14A5684C"/>
    <w:rsid w:val="14C92A61"/>
    <w:rsid w:val="14D13BED"/>
    <w:rsid w:val="152B2BAC"/>
    <w:rsid w:val="154B796D"/>
    <w:rsid w:val="1563068F"/>
    <w:rsid w:val="15C234D7"/>
    <w:rsid w:val="15CF4DB2"/>
    <w:rsid w:val="16007AB2"/>
    <w:rsid w:val="160C0F87"/>
    <w:rsid w:val="16504596"/>
    <w:rsid w:val="16586389"/>
    <w:rsid w:val="1662251B"/>
    <w:rsid w:val="16636963"/>
    <w:rsid w:val="17303C09"/>
    <w:rsid w:val="173275EF"/>
    <w:rsid w:val="17347B76"/>
    <w:rsid w:val="174123C3"/>
    <w:rsid w:val="1785061B"/>
    <w:rsid w:val="181F6915"/>
    <w:rsid w:val="187B4A90"/>
    <w:rsid w:val="18C63E13"/>
    <w:rsid w:val="19127662"/>
    <w:rsid w:val="19131896"/>
    <w:rsid w:val="193B7F54"/>
    <w:rsid w:val="194303E2"/>
    <w:rsid w:val="198D3D0F"/>
    <w:rsid w:val="19AB6C74"/>
    <w:rsid w:val="19B9484E"/>
    <w:rsid w:val="19BC7654"/>
    <w:rsid w:val="19BE1952"/>
    <w:rsid w:val="1A4A0EA8"/>
    <w:rsid w:val="1A79173F"/>
    <w:rsid w:val="1A952EBF"/>
    <w:rsid w:val="1AF000F5"/>
    <w:rsid w:val="1AFF4363"/>
    <w:rsid w:val="1B0342CC"/>
    <w:rsid w:val="1B0C6A1D"/>
    <w:rsid w:val="1B145DFF"/>
    <w:rsid w:val="1B316049"/>
    <w:rsid w:val="1B4461B1"/>
    <w:rsid w:val="1BD41FF9"/>
    <w:rsid w:val="1C321D87"/>
    <w:rsid w:val="1C3D736A"/>
    <w:rsid w:val="1C9160AA"/>
    <w:rsid w:val="1D05365A"/>
    <w:rsid w:val="1D097B94"/>
    <w:rsid w:val="1D127B05"/>
    <w:rsid w:val="1D1455CF"/>
    <w:rsid w:val="1D37200B"/>
    <w:rsid w:val="1D5E641B"/>
    <w:rsid w:val="1D682044"/>
    <w:rsid w:val="1D913D05"/>
    <w:rsid w:val="1DC617BC"/>
    <w:rsid w:val="1DE0221B"/>
    <w:rsid w:val="1E0A5436"/>
    <w:rsid w:val="1E5D07E9"/>
    <w:rsid w:val="1E8A0861"/>
    <w:rsid w:val="1E934E22"/>
    <w:rsid w:val="1EA369E4"/>
    <w:rsid w:val="1ECD3E04"/>
    <w:rsid w:val="1ED02211"/>
    <w:rsid w:val="1F012F32"/>
    <w:rsid w:val="1F150AF9"/>
    <w:rsid w:val="1F1858EE"/>
    <w:rsid w:val="1F5542EC"/>
    <w:rsid w:val="1FA12306"/>
    <w:rsid w:val="1FC154AB"/>
    <w:rsid w:val="201F1E76"/>
    <w:rsid w:val="204A2500"/>
    <w:rsid w:val="2063589F"/>
    <w:rsid w:val="206B1ED8"/>
    <w:rsid w:val="208239E9"/>
    <w:rsid w:val="20CE2C87"/>
    <w:rsid w:val="20E8779D"/>
    <w:rsid w:val="2100212A"/>
    <w:rsid w:val="210A2B30"/>
    <w:rsid w:val="2118120F"/>
    <w:rsid w:val="21703D3E"/>
    <w:rsid w:val="21AB430D"/>
    <w:rsid w:val="21B962A6"/>
    <w:rsid w:val="21D54E67"/>
    <w:rsid w:val="21DA62E3"/>
    <w:rsid w:val="22232478"/>
    <w:rsid w:val="22326947"/>
    <w:rsid w:val="225322DB"/>
    <w:rsid w:val="22945273"/>
    <w:rsid w:val="22D05A1E"/>
    <w:rsid w:val="22EF0FBA"/>
    <w:rsid w:val="23426CF1"/>
    <w:rsid w:val="23996BC2"/>
    <w:rsid w:val="23A46E10"/>
    <w:rsid w:val="23C07BEC"/>
    <w:rsid w:val="23CB7951"/>
    <w:rsid w:val="23F6784B"/>
    <w:rsid w:val="23FC0B7E"/>
    <w:rsid w:val="24024409"/>
    <w:rsid w:val="24041509"/>
    <w:rsid w:val="24467C80"/>
    <w:rsid w:val="248435ED"/>
    <w:rsid w:val="24913C78"/>
    <w:rsid w:val="249347BC"/>
    <w:rsid w:val="24C77014"/>
    <w:rsid w:val="253332EF"/>
    <w:rsid w:val="255023AA"/>
    <w:rsid w:val="257D46E1"/>
    <w:rsid w:val="25C56432"/>
    <w:rsid w:val="25D8433E"/>
    <w:rsid w:val="25E371D4"/>
    <w:rsid w:val="25FF7D86"/>
    <w:rsid w:val="265E064B"/>
    <w:rsid w:val="26AD04BC"/>
    <w:rsid w:val="26B20955"/>
    <w:rsid w:val="26C3068E"/>
    <w:rsid w:val="26C32CCB"/>
    <w:rsid w:val="26CE5352"/>
    <w:rsid w:val="27041F1B"/>
    <w:rsid w:val="277758E6"/>
    <w:rsid w:val="27C55BC3"/>
    <w:rsid w:val="27DD5B2C"/>
    <w:rsid w:val="27F84A8D"/>
    <w:rsid w:val="283E5C43"/>
    <w:rsid w:val="284A76B9"/>
    <w:rsid w:val="285C2CA8"/>
    <w:rsid w:val="288462D2"/>
    <w:rsid w:val="28A075FF"/>
    <w:rsid w:val="28D84448"/>
    <w:rsid w:val="29064E7C"/>
    <w:rsid w:val="290D1185"/>
    <w:rsid w:val="29276C21"/>
    <w:rsid w:val="295B1778"/>
    <w:rsid w:val="29712DEB"/>
    <w:rsid w:val="2983430D"/>
    <w:rsid w:val="298A0334"/>
    <w:rsid w:val="299C0C57"/>
    <w:rsid w:val="29B36E51"/>
    <w:rsid w:val="29B906C4"/>
    <w:rsid w:val="29CB06AB"/>
    <w:rsid w:val="2A126298"/>
    <w:rsid w:val="2A317D7C"/>
    <w:rsid w:val="2A9C2048"/>
    <w:rsid w:val="2A9E122B"/>
    <w:rsid w:val="2B7D5189"/>
    <w:rsid w:val="2B897FD8"/>
    <w:rsid w:val="2B8F5708"/>
    <w:rsid w:val="2B992390"/>
    <w:rsid w:val="2BAA585E"/>
    <w:rsid w:val="2BDB24ED"/>
    <w:rsid w:val="2C680433"/>
    <w:rsid w:val="2CB52E8B"/>
    <w:rsid w:val="2CD85CAF"/>
    <w:rsid w:val="2D053AD5"/>
    <w:rsid w:val="2D1A4437"/>
    <w:rsid w:val="2D2D366D"/>
    <w:rsid w:val="2D40315E"/>
    <w:rsid w:val="2D426ED6"/>
    <w:rsid w:val="2D475E7D"/>
    <w:rsid w:val="2D726325"/>
    <w:rsid w:val="2E301299"/>
    <w:rsid w:val="2E49088D"/>
    <w:rsid w:val="2E772BB0"/>
    <w:rsid w:val="2E7D066D"/>
    <w:rsid w:val="2E961BCA"/>
    <w:rsid w:val="2EB33484"/>
    <w:rsid w:val="2F0D5A9E"/>
    <w:rsid w:val="2F10090E"/>
    <w:rsid w:val="2F3F6386"/>
    <w:rsid w:val="2F57478F"/>
    <w:rsid w:val="2FCB7FCB"/>
    <w:rsid w:val="2FFA29DC"/>
    <w:rsid w:val="300C37CC"/>
    <w:rsid w:val="30517430"/>
    <w:rsid w:val="30AA73FB"/>
    <w:rsid w:val="310E1A75"/>
    <w:rsid w:val="31FC1174"/>
    <w:rsid w:val="32093A83"/>
    <w:rsid w:val="320A3D3B"/>
    <w:rsid w:val="32240CF8"/>
    <w:rsid w:val="323B2146"/>
    <w:rsid w:val="326A1DEA"/>
    <w:rsid w:val="326E6078"/>
    <w:rsid w:val="32B12408"/>
    <w:rsid w:val="32BF1441"/>
    <w:rsid w:val="331035D3"/>
    <w:rsid w:val="331E499D"/>
    <w:rsid w:val="33356B95"/>
    <w:rsid w:val="333D69A2"/>
    <w:rsid w:val="33550FE6"/>
    <w:rsid w:val="33615BDC"/>
    <w:rsid w:val="33E55C6C"/>
    <w:rsid w:val="340065E3"/>
    <w:rsid w:val="34173BB9"/>
    <w:rsid w:val="34720E9D"/>
    <w:rsid w:val="34F6592D"/>
    <w:rsid w:val="351A66F5"/>
    <w:rsid w:val="35574948"/>
    <w:rsid w:val="356D7038"/>
    <w:rsid w:val="356F54A6"/>
    <w:rsid w:val="3574016B"/>
    <w:rsid w:val="35E6061B"/>
    <w:rsid w:val="36086526"/>
    <w:rsid w:val="36B204FD"/>
    <w:rsid w:val="36BF3346"/>
    <w:rsid w:val="36D743A8"/>
    <w:rsid w:val="36DB0D4C"/>
    <w:rsid w:val="371426AC"/>
    <w:rsid w:val="37145337"/>
    <w:rsid w:val="37203280"/>
    <w:rsid w:val="37690B0A"/>
    <w:rsid w:val="379072FD"/>
    <w:rsid w:val="37BA68D2"/>
    <w:rsid w:val="37E111D5"/>
    <w:rsid w:val="37E73DFD"/>
    <w:rsid w:val="3802587B"/>
    <w:rsid w:val="38187E61"/>
    <w:rsid w:val="38463C28"/>
    <w:rsid w:val="384A6A34"/>
    <w:rsid w:val="38795B7C"/>
    <w:rsid w:val="38925F00"/>
    <w:rsid w:val="389332EB"/>
    <w:rsid w:val="38B30C3D"/>
    <w:rsid w:val="38B43393"/>
    <w:rsid w:val="38C24E0A"/>
    <w:rsid w:val="38CC3A85"/>
    <w:rsid w:val="38CD7870"/>
    <w:rsid w:val="39247160"/>
    <w:rsid w:val="395D33E0"/>
    <w:rsid w:val="39810D86"/>
    <w:rsid w:val="39C173D5"/>
    <w:rsid w:val="39C338B6"/>
    <w:rsid w:val="39C535B0"/>
    <w:rsid w:val="39C649EB"/>
    <w:rsid w:val="39CC0AA9"/>
    <w:rsid w:val="39E676B6"/>
    <w:rsid w:val="39E84962"/>
    <w:rsid w:val="3A0D2CD3"/>
    <w:rsid w:val="3A320853"/>
    <w:rsid w:val="3A556854"/>
    <w:rsid w:val="3A5E022F"/>
    <w:rsid w:val="3A9F2920"/>
    <w:rsid w:val="3AA427A0"/>
    <w:rsid w:val="3AA94EEE"/>
    <w:rsid w:val="3AED3BD1"/>
    <w:rsid w:val="3B2814C8"/>
    <w:rsid w:val="3B6765EF"/>
    <w:rsid w:val="3B71645E"/>
    <w:rsid w:val="3B89361D"/>
    <w:rsid w:val="3B9F72A2"/>
    <w:rsid w:val="3BA822F2"/>
    <w:rsid w:val="3BB5006A"/>
    <w:rsid w:val="3BC92E7D"/>
    <w:rsid w:val="3C020417"/>
    <w:rsid w:val="3C184082"/>
    <w:rsid w:val="3C1E7D11"/>
    <w:rsid w:val="3C597D99"/>
    <w:rsid w:val="3C681B4C"/>
    <w:rsid w:val="3C7B68EB"/>
    <w:rsid w:val="3C805960"/>
    <w:rsid w:val="3CBC2D7C"/>
    <w:rsid w:val="3CFD6976"/>
    <w:rsid w:val="3D1E4B3E"/>
    <w:rsid w:val="3D8E7B6A"/>
    <w:rsid w:val="3DB246A5"/>
    <w:rsid w:val="3DBF18BC"/>
    <w:rsid w:val="3DC47C53"/>
    <w:rsid w:val="3E097401"/>
    <w:rsid w:val="3E145F68"/>
    <w:rsid w:val="3E5C346D"/>
    <w:rsid w:val="3E7762B4"/>
    <w:rsid w:val="3E8E4B07"/>
    <w:rsid w:val="3EB37B59"/>
    <w:rsid w:val="3F624615"/>
    <w:rsid w:val="3F6424C4"/>
    <w:rsid w:val="3F707F35"/>
    <w:rsid w:val="3F7C7445"/>
    <w:rsid w:val="3F867B65"/>
    <w:rsid w:val="3F882E17"/>
    <w:rsid w:val="3F8A0269"/>
    <w:rsid w:val="3FF027C2"/>
    <w:rsid w:val="400A08F0"/>
    <w:rsid w:val="403F2B3B"/>
    <w:rsid w:val="40534AFF"/>
    <w:rsid w:val="40635117"/>
    <w:rsid w:val="407F58AD"/>
    <w:rsid w:val="40827192"/>
    <w:rsid w:val="408E3B2F"/>
    <w:rsid w:val="410307EB"/>
    <w:rsid w:val="41176A48"/>
    <w:rsid w:val="41507FBF"/>
    <w:rsid w:val="4182576F"/>
    <w:rsid w:val="41A774D6"/>
    <w:rsid w:val="41D81760"/>
    <w:rsid w:val="41EF2605"/>
    <w:rsid w:val="41F94974"/>
    <w:rsid w:val="42120468"/>
    <w:rsid w:val="424C7542"/>
    <w:rsid w:val="42603B6A"/>
    <w:rsid w:val="426C0BBA"/>
    <w:rsid w:val="42701998"/>
    <w:rsid w:val="428418E8"/>
    <w:rsid w:val="42914B4F"/>
    <w:rsid w:val="42AD6748"/>
    <w:rsid w:val="43016189"/>
    <w:rsid w:val="433A0AC9"/>
    <w:rsid w:val="436F74ED"/>
    <w:rsid w:val="43737FC8"/>
    <w:rsid w:val="43931DE2"/>
    <w:rsid w:val="439C08AD"/>
    <w:rsid w:val="43BD1632"/>
    <w:rsid w:val="43CB44FA"/>
    <w:rsid w:val="43F04D1D"/>
    <w:rsid w:val="440561FB"/>
    <w:rsid w:val="441E51CB"/>
    <w:rsid w:val="448962BC"/>
    <w:rsid w:val="44A973E3"/>
    <w:rsid w:val="44C67F95"/>
    <w:rsid w:val="450A60D4"/>
    <w:rsid w:val="450E4C2E"/>
    <w:rsid w:val="4528481C"/>
    <w:rsid w:val="452C04ED"/>
    <w:rsid w:val="45660E30"/>
    <w:rsid w:val="45822CF4"/>
    <w:rsid w:val="45843F04"/>
    <w:rsid w:val="45B778DE"/>
    <w:rsid w:val="45C0518B"/>
    <w:rsid w:val="4609342F"/>
    <w:rsid w:val="4621242A"/>
    <w:rsid w:val="462E577D"/>
    <w:rsid w:val="4674757D"/>
    <w:rsid w:val="46786B06"/>
    <w:rsid w:val="468C6F21"/>
    <w:rsid w:val="46A71480"/>
    <w:rsid w:val="46DD5122"/>
    <w:rsid w:val="46F26E20"/>
    <w:rsid w:val="472B0583"/>
    <w:rsid w:val="476F477F"/>
    <w:rsid w:val="477947D7"/>
    <w:rsid w:val="47A01289"/>
    <w:rsid w:val="47EE24FD"/>
    <w:rsid w:val="48343468"/>
    <w:rsid w:val="48481244"/>
    <w:rsid w:val="48540F89"/>
    <w:rsid w:val="48CE7418"/>
    <w:rsid w:val="48F74BC1"/>
    <w:rsid w:val="49276B29"/>
    <w:rsid w:val="4964780A"/>
    <w:rsid w:val="49917AA4"/>
    <w:rsid w:val="49A33F02"/>
    <w:rsid w:val="49A51D64"/>
    <w:rsid w:val="49B23BD7"/>
    <w:rsid w:val="4A3C0584"/>
    <w:rsid w:val="4A9B3688"/>
    <w:rsid w:val="4A9F27CE"/>
    <w:rsid w:val="4AD03796"/>
    <w:rsid w:val="4AF13892"/>
    <w:rsid w:val="4B2465FD"/>
    <w:rsid w:val="4B724D18"/>
    <w:rsid w:val="4B78366B"/>
    <w:rsid w:val="4B912C51"/>
    <w:rsid w:val="4BE331DB"/>
    <w:rsid w:val="4C395FF3"/>
    <w:rsid w:val="4C610DF6"/>
    <w:rsid w:val="4C6851B7"/>
    <w:rsid w:val="4C774E09"/>
    <w:rsid w:val="4CBF3261"/>
    <w:rsid w:val="4CF271CC"/>
    <w:rsid w:val="4D0258E3"/>
    <w:rsid w:val="4D7E765F"/>
    <w:rsid w:val="4DA050AE"/>
    <w:rsid w:val="4DD00E1F"/>
    <w:rsid w:val="4DD12A7F"/>
    <w:rsid w:val="4E30022D"/>
    <w:rsid w:val="4E3C6AB4"/>
    <w:rsid w:val="4E8B0A28"/>
    <w:rsid w:val="4EB977FF"/>
    <w:rsid w:val="4ECE0172"/>
    <w:rsid w:val="4EEE2A55"/>
    <w:rsid w:val="4F0D5246"/>
    <w:rsid w:val="4F3D43F6"/>
    <w:rsid w:val="4F461B54"/>
    <w:rsid w:val="4F513F40"/>
    <w:rsid w:val="4F51697C"/>
    <w:rsid w:val="4F67662C"/>
    <w:rsid w:val="4F7815E6"/>
    <w:rsid w:val="4FD34630"/>
    <w:rsid w:val="503D2FF7"/>
    <w:rsid w:val="50761340"/>
    <w:rsid w:val="509128DF"/>
    <w:rsid w:val="509817EB"/>
    <w:rsid w:val="50BB6561"/>
    <w:rsid w:val="50BC49D9"/>
    <w:rsid w:val="50DC5541"/>
    <w:rsid w:val="51212A3B"/>
    <w:rsid w:val="512B716F"/>
    <w:rsid w:val="514F0422"/>
    <w:rsid w:val="51FB3B22"/>
    <w:rsid w:val="52005907"/>
    <w:rsid w:val="5305612D"/>
    <w:rsid w:val="534C41B7"/>
    <w:rsid w:val="538533C2"/>
    <w:rsid w:val="53AE4F35"/>
    <w:rsid w:val="53B536AF"/>
    <w:rsid w:val="545C7FCE"/>
    <w:rsid w:val="545D5AF4"/>
    <w:rsid w:val="54716DD9"/>
    <w:rsid w:val="54D264E2"/>
    <w:rsid w:val="54F15B76"/>
    <w:rsid w:val="54F2448F"/>
    <w:rsid w:val="55144405"/>
    <w:rsid w:val="5557139E"/>
    <w:rsid w:val="556914AB"/>
    <w:rsid w:val="55AD49B3"/>
    <w:rsid w:val="55B32D94"/>
    <w:rsid w:val="56016150"/>
    <w:rsid w:val="56220DA3"/>
    <w:rsid w:val="562C577E"/>
    <w:rsid w:val="56463BA7"/>
    <w:rsid w:val="565B16D3"/>
    <w:rsid w:val="568B1FB7"/>
    <w:rsid w:val="568B6949"/>
    <w:rsid w:val="5697097A"/>
    <w:rsid w:val="56C01702"/>
    <w:rsid w:val="56F41E62"/>
    <w:rsid w:val="57427C1F"/>
    <w:rsid w:val="57462196"/>
    <w:rsid w:val="57561835"/>
    <w:rsid w:val="577A50C0"/>
    <w:rsid w:val="578C3AB3"/>
    <w:rsid w:val="57975D15"/>
    <w:rsid w:val="57A75A04"/>
    <w:rsid w:val="57DF61BA"/>
    <w:rsid w:val="58104C55"/>
    <w:rsid w:val="582933D1"/>
    <w:rsid w:val="58334AD1"/>
    <w:rsid w:val="583B12A8"/>
    <w:rsid w:val="58461443"/>
    <w:rsid w:val="585C5402"/>
    <w:rsid w:val="58BB0EE7"/>
    <w:rsid w:val="58C2765C"/>
    <w:rsid w:val="58E5427F"/>
    <w:rsid w:val="58F1388B"/>
    <w:rsid w:val="58F76517"/>
    <w:rsid w:val="590B4400"/>
    <w:rsid w:val="594C3754"/>
    <w:rsid w:val="59752ECD"/>
    <w:rsid w:val="5999137D"/>
    <w:rsid w:val="59BE5287"/>
    <w:rsid w:val="59D86349"/>
    <w:rsid w:val="5A17693A"/>
    <w:rsid w:val="5A6A7367"/>
    <w:rsid w:val="5A711009"/>
    <w:rsid w:val="5A9D2736"/>
    <w:rsid w:val="5AA1673B"/>
    <w:rsid w:val="5AAE6DC3"/>
    <w:rsid w:val="5ADF45FD"/>
    <w:rsid w:val="5B160705"/>
    <w:rsid w:val="5B1C2C26"/>
    <w:rsid w:val="5B2F2948"/>
    <w:rsid w:val="5B866B75"/>
    <w:rsid w:val="5B8A3673"/>
    <w:rsid w:val="5BA22A3F"/>
    <w:rsid w:val="5BA8202F"/>
    <w:rsid w:val="5BD33348"/>
    <w:rsid w:val="5BF95560"/>
    <w:rsid w:val="5C097717"/>
    <w:rsid w:val="5C1E158C"/>
    <w:rsid w:val="5C512D32"/>
    <w:rsid w:val="5C5261DC"/>
    <w:rsid w:val="5C644200"/>
    <w:rsid w:val="5C6907D3"/>
    <w:rsid w:val="5C8E0F41"/>
    <w:rsid w:val="5CA97C7F"/>
    <w:rsid w:val="5CB44382"/>
    <w:rsid w:val="5D1C02FB"/>
    <w:rsid w:val="5D217CE2"/>
    <w:rsid w:val="5D55382D"/>
    <w:rsid w:val="5D6F2B20"/>
    <w:rsid w:val="5DB623DF"/>
    <w:rsid w:val="5DCE1FDB"/>
    <w:rsid w:val="5DEA0368"/>
    <w:rsid w:val="5E510478"/>
    <w:rsid w:val="5E5B3693"/>
    <w:rsid w:val="5E723847"/>
    <w:rsid w:val="5E75252F"/>
    <w:rsid w:val="5E826883"/>
    <w:rsid w:val="5E8E6FD6"/>
    <w:rsid w:val="5EA87070"/>
    <w:rsid w:val="5EB81CC8"/>
    <w:rsid w:val="5EF13A09"/>
    <w:rsid w:val="5F165328"/>
    <w:rsid w:val="5F222FAD"/>
    <w:rsid w:val="5FA476B1"/>
    <w:rsid w:val="5FD73C7C"/>
    <w:rsid w:val="60313187"/>
    <w:rsid w:val="60524D56"/>
    <w:rsid w:val="606F065C"/>
    <w:rsid w:val="60B13450"/>
    <w:rsid w:val="60CF38D6"/>
    <w:rsid w:val="614B38A4"/>
    <w:rsid w:val="61693D2A"/>
    <w:rsid w:val="616A7BEA"/>
    <w:rsid w:val="619863BE"/>
    <w:rsid w:val="61A61390"/>
    <w:rsid w:val="61D55623"/>
    <w:rsid w:val="61E42540"/>
    <w:rsid w:val="61F061BF"/>
    <w:rsid w:val="620C1661"/>
    <w:rsid w:val="621E68C3"/>
    <w:rsid w:val="623206EE"/>
    <w:rsid w:val="62351C22"/>
    <w:rsid w:val="62C41B56"/>
    <w:rsid w:val="62FD43A6"/>
    <w:rsid w:val="62FF740E"/>
    <w:rsid w:val="631662AF"/>
    <w:rsid w:val="636F62F6"/>
    <w:rsid w:val="637D22AE"/>
    <w:rsid w:val="638B6E4B"/>
    <w:rsid w:val="63961AD1"/>
    <w:rsid w:val="63B80CA0"/>
    <w:rsid w:val="64081D1E"/>
    <w:rsid w:val="6450592F"/>
    <w:rsid w:val="6484736D"/>
    <w:rsid w:val="64874569"/>
    <w:rsid w:val="6488111F"/>
    <w:rsid w:val="64906BA0"/>
    <w:rsid w:val="64BC6C50"/>
    <w:rsid w:val="64C24A28"/>
    <w:rsid w:val="64D23995"/>
    <w:rsid w:val="652B01F6"/>
    <w:rsid w:val="653460AA"/>
    <w:rsid w:val="658C6239"/>
    <w:rsid w:val="6596613C"/>
    <w:rsid w:val="65D602DD"/>
    <w:rsid w:val="65F334C9"/>
    <w:rsid w:val="662D4FA6"/>
    <w:rsid w:val="66581CAB"/>
    <w:rsid w:val="666557B4"/>
    <w:rsid w:val="666920D7"/>
    <w:rsid w:val="668023F5"/>
    <w:rsid w:val="66860EDB"/>
    <w:rsid w:val="669875E8"/>
    <w:rsid w:val="66BA707E"/>
    <w:rsid w:val="66FE2966"/>
    <w:rsid w:val="67010F10"/>
    <w:rsid w:val="670B3E3B"/>
    <w:rsid w:val="670C5884"/>
    <w:rsid w:val="67273D51"/>
    <w:rsid w:val="67690940"/>
    <w:rsid w:val="67770DF7"/>
    <w:rsid w:val="678D1F3A"/>
    <w:rsid w:val="67994A31"/>
    <w:rsid w:val="67F472A0"/>
    <w:rsid w:val="67FF4D6B"/>
    <w:rsid w:val="68A815DC"/>
    <w:rsid w:val="68BE73E6"/>
    <w:rsid w:val="68E5013A"/>
    <w:rsid w:val="68E72104"/>
    <w:rsid w:val="68EE2E29"/>
    <w:rsid w:val="69252A0C"/>
    <w:rsid w:val="692F7608"/>
    <w:rsid w:val="695E7EED"/>
    <w:rsid w:val="69665756"/>
    <w:rsid w:val="69733998"/>
    <w:rsid w:val="69B70B6A"/>
    <w:rsid w:val="69DF4B8A"/>
    <w:rsid w:val="69F80478"/>
    <w:rsid w:val="6A3721C0"/>
    <w:rsid w:val="6A432A52"/>
    <w:rsid w:val="6A57565E"/>
    <w:rsid w:val="6A5A4B58"/>
    <w:rsid w:val="6A706DE0"/>
    <w:rsid w:val="6A8D2F7D"/>
    <w:rsid w:val="6ACF3C72"/>
    <w:rsid w:val="6AE02ABF"/>
    <w:rsid w:val="6AF639EA"/>
    <w:rsid w:val="6BB91A03"/>
    <w:rsid w:val="6BCD4164"/>
    <w:rsid w:val="6BDB5825"/>
    <w:rsid w:val="6BF701B4"/>
    <w:rsid w:val="6C082A5B"/>
    <w:rsid w:val="6C3F3D03"/>
    <w:rsid w:val="6C9B58D8"/>
    <w:rsid w:val="6CB509B7"/>
    <w:rsid w:val="6CEB5420"/>
    <w:rsid w:val="6CF62424"/>
    <w:rsid w:val="6D09793F"/>
    <w:rsid w:val="6D5D202C"/>
    <w:rsid w:val="6D801C82"/>
    <w:rsid w:val="6D99255B"/>
    <w:rsid w:val="6DCC0B2E"/>
    <w:rsid w:val="6DCD1EC9"/>
    <w:rsid w:val="6DD3261D"/>
    <w:rsid w:val="6E1D7881"/>
    <w:rsid w:val="6E5E7D85"/>
    <w:rsid w:val="6E8E3022"/>
    <w:rsid w:val="6E91474D"/>
    <w:rsid w:val="6EA939B8"/>
    <w:rsid w:val="6EBD1212"/>
    <w:rsid w:val="6EE449F0"/>
    <w:rsid w:val="6EF74BE9"/>
    <w:rsid w:val="6F045092"/>
    <w:rsid w:val="6F300FD8"/>
    <w:rsid w:val="6F863483"/>
    <w:rsid w:val="6FA348AB"/>
    <w:rsid w:val="6FBD48A6"/>
    <w:rsid w:val="6FCD20B4"/>
    <w:rsid w:val="6FED5B27"/>
    <w:rsid w:val="70221C74"/>
    <w:rsid w:val="70343DA1"/>
    <w:rsid w:val="70553374"/>
    <w:rsid w:val="70601440"/>
    <w:rsid w:val="70F52EE5"/>
    <w:rsid w:val="7104661F"/>
    <w:rsid w:val="711B38CE"/>
    <w:rsid w:val="7146622A"/>
    <w:rsid w:val="71B07493"/>
    <w:rsid w:val="72080AB1"/>
    <w:rsid w:val="721148E6"/>
    <w:rsid w:val="72626C18"/>
    <w:rsid w:val="72964253"/>
    <w:rsid w:val="72F623CF"/>
    <w:rsid w:val="72F84F77"/>
    <w:rsid w:val="7311567C"/>
    <w:rsid w:val="734D1C46"/>
    <w:rsid w:val="73CF2113"/>
    <w:rsid w:val="741C0EC1"/>
    <w:rsid w:val="743D5B25"/>
    <w:rsid w:val="744547E1"/>
    <w:rsid w:val="744A709B"/>
    <w:rsid w:val="74582108"/>
    <w:rsid w:val="74640AAD"/>
    <w:rsid w:val="749E5641"/>
    <w:rsid w:val="74A0585D"/>
    <w:rsid w:val="74B50F0F"/>
    <w:rsid w:val="74E4399C"/>
    <w:rsid w:val="7541631F"/>
    <w:rsid w:val="7553467E"/>
    <w:rsid w:val="75B62796"/>
    <w:rsid w:val="769A0AEB"/>
    <w:rsid w:val="76D5081C"/>
    <w:rsid w:val="76DD68F5"/>
    <w:rsid w:val="76E33220"/>
    <w:rsid w:val="77336515"/>
    <w:rsid w:val="77396C34"/>
    <w:rsid w:val="773D5A60"/>
    <w:rsid w:val="775943A1"/>
    <w:rsid w:val="779D6084"/>
    <w:rsid w:val="77D17DD7"/>
    <w:rsid w:val="77E15F71"/>
    <w:rsid w:val="78061E7B"/>
    <w:rsid w:val="7836450F"/>
    <w:rsid w:val="783A6FF9"/>
    <w:rsid w:val="784B564B"/>
    <w:rsid w:val="7915371C"/>
    <w:rsid w:val="793C4613"/>
    <w:rsid w:val="79440EAD"/>
    <w:rsid w:val="794430DB"/>
    <w:rsid w:val="795B1D53"/>
    <w:rsid w:val="79BA2F1D"/>
    <w:rsid w:val="7A036672"/>
    <w:rsid w:val="7A053B18"/>
    <w:rsid w:val="7A355975"/>
    <w:rsid w:val="7A6C3F12"/>
    <w:rsid w:val="7A7A6416"/>
    <w:rsid w:val="7B18439F"/>
    <w:rsid w:val="7B4B6285"/>
    <w:rsid w:val="7BFB2BCE"/>
    <w:rsid w:val="7BFE1C08"/>
    <w:rsid w:val="7C1831D3"/>
    <w:rsid w:val="7C1F52BA"/>
    <w:rsid w:val="7C280612"/>
    <w:rsid w:val="7C3F595C"/>
    <w:rsid w:val="7C4B0674"/>
    <w:rsid w:val="7C4C58AB"/>
    <w:rsid w:val="7C8B1C4C"/>
    <w:rsid w:val="7CE34539"/>
    <w:rsid w:val="7D1116F5"/>
    <w:rsid w:val="7D3A71C2"/>
    <w:rsid w:val="7D894B75"/>
    <w:rsid w:val="7E075C14"/>
    <w:rsid w:val="7E205494"/>
    <w:rsid w:val="7E2B5E44"/>
    <w:rsid w:val="7E4F05C0"/>
    <w:rsid w:val="7E5B0F44"/>
    <w:rsid w:val="7E797790"/>
    <w:rsid w:val="7E83512A"/>
    <w:rsid w:val="7E913B8A"/>
    <w:rsid w:val="7ECD22F3"/>
    <w:rsid w:val="7EE763D8"/>
    <w:rsid w:val="7EF2286A"/>
    <w:rsid w:val="7FD23724"/>
    <w:rsid w:val="7FE5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spacing w:before="100" w:beforeAutospacing="1" w:after="100" w:afterAutospacing="1"/>
      <w:jc w:val="left"/>
      <w:outlineLvl w:val="0"/>
    </w:pPr>
    <w:rPr>
      <w:rFonts w:ascii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  <w:jc w:val="both"/>
      <w:textAlignment w:val="baseline"/>
    </w:pPr>
    <w:rPr>
      <w:rFonts w:hint="default" w:ascii="Calibri" w:hAnsi="Calibri" w:eastAsia="宋体" w:cs="宋体"/>
      <w:kern w:val="2"/>
      <w:sz w:val="21"/>
      <w:szCs w:val="21"/>
      <w:lang w:val="en-US" w:eastAsia="zh-CN" w:bidi="ar"/>
    </w:rPr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character" w:styleId="10">
    <w:name w:val="Strong"/>
    <w:basedOn w:val="9"/>
    <w:qFormat/>
    <w:uiPriority w:val="0"/>
    <w:rPr>
      <w:b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  <w:style w:type="character" w:customStyle="1" w:styleId="12">
    <w:name w:val="NormalCharacter"/>
    <w:qFormat/>
    <w:uiPriority w:val="0"/>
    <w:rPr>
      <w:rFonts w:ascii="Calibri" w:hAnsi="Calibri" w:eastAsia="宋体"/>
    </w:rPr>
  </w:style>
  <w:style w:type="character" w:customStyle="1" w:styleId="13">
    <w:name w:val="font41"/>
    <w:basedOn w:val="9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4">
    <w:name w:val="font51"/>
    <w:basedOn w:val="9"/>
    <w:qFormat/>
    <w:uiPriority w:val="0"/>
    <w:rPr>
      <w:rFonts w:hint="default" w:ascii="Arial" w:hAnsi="Arial" w:cs="Arial"/>
      <w:color w:val="000000"/>
      <w:sz w:val="18"/>
      <w:szCs w:val="18"/>
      <w:u w:val="none"/>
    </w:rPr>
  </w:style>
  <w:style w:type="character" w:customStyle="1" w:styleId="15">
    <w:name w:val="页眉 Char"/>
    <w:basedOn w:val="9"/>
    <w:link w:val="6"/>
    <w:qFormat/>
    <w:uiPriority w:val="0"/>
    <w:rPr>
      <w:rFonts w:ascii="Calibri" w:hAnsi="Calibri" w:cs="宋体"/>
      <w:kern w:val="2"/>
      <w:sz w:val="18"/>
      <w:szCs w:val="18"/>
    </w:rPr>
  </w:style>
  <w:style w:type="character" w:customStyle="1" w:styleId="16">
    <w:name w:val="批注框文本 Char"/>
    <w:basedOn w:val="9"/>
    <w:link w:val="4"/>
    <w:qFormat/>
    <w:uiPriority w:val="0"/>
    <w:rPr>
      <w:rFonts w:ascii="Calibri" w:hAnsi="Calibri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5C4877-FDBB-4758-9BB9-FF41847AD5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2478</Words>
  <Characters>2748</Characters>
  <Lines>1</Lines>
  <Paragraphs>1</Paragraphs>
  <TotalTime>9</TotalTime>
  <ScaleCrop>false</ScaleCrop>
  <LinksUpToDate>false</LinksUpToDate>
  <CharactersWithSpaces>2754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2021-09-15T23:36:00Z</dcterms:created>
  <dc:creator>cxs8</dc:creator>
  <cp:lastModifiedBy>Administrator</cp:lastModifiedBy>
  <cp:lastPrinted>2023-04-24T08:49:34Z</cp:lastPrinted>
  <dcterms:modified xsi:type="dcterms:W3CDTF">2023-04-24T08:57:46Z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871A12896A2C49E18BFFA8A69EA4752F</vt:lpwstr>
  </property>
</Properties>
</file>