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1-8月份全县经济运行情况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今年以来，全县上下认真学习贯彻习近平总书记讲话精神和党中央、国务院的决策部署，上下齐抓共管，制定一系列有力、有效稳经济促发展的政策举措，继续坚持“项目为王”的工作导向，持续开展“三个一批”、“万人助万企”活动，强力统筹发展，确保经济持续稳定发展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Times New Roman"/>
          <w:sz w:val="32"/>
          <w:szCs w:val="32"/>
        </w:rPr>
        <w:t>1-8月份全县工业生产平稳增长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1-8月份，全县150家规模以上工业企业完成增加值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18.0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4.9%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，实现营业收入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91.1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亿元，同比增长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%，实现利润总额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亿元，同比下降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29.7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%，营业收入利润率为</w:t>
      </w:r>
      <w:r>
        <w:rPr>
          <w:rFonts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工业三大门类中，制造业增加值完成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16.0</w:t>
      </w:r>
      <w:r>
        <w:rPr>
          <w:rFonts w:ascii="Times New Roman" w:hAnsi="Times New Roman" w:eastAsia="仿宋_GB2312" w:cs="Times New Roman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6.2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规上</w:t>
      </w:r>
      <w:r>
        <w:rPr>
          <w:rFonts w:ascii="Times New Roman" w:hAnsi="Times New Roman" w:eastAsia="仿宋_GB2312" w:cs="Times New Roman"/>
          <w:sz w:val="32"/>
          <w:szCs w:val="32"/>
        </w:rPr>
        <w:t>制造业增加值占规模以上工业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为88.7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5.4</w:t>
      </w:r>
      <w:r>
        <w:rPr>
          <w:rFonts w:ascii="Times New Roman" w:hAnsi="Times New Roman" w:eastAsia="仿宋_GB2312" w:cs="Times New Roman"/>
          <w:sz w:val="32"/>
          <w:szCs w:val="32"/>
        </w:rPr>
        <w:t>个百分点；电力热力燃气及水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生产和供应业增加值完成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2.0</w:t>
      </w:r>
      <w:r>
        <w:rPr>
          <w:rFonts w:ascii="Times New Roman" w:hAnsi="Times New Roman" w:eastAsia="仿宋_GB2312" w:cs="Times New Roman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下降4.5</w:t>
      </w:r>
      <w:r>
        <w:rPr>
          <w:rFonts w:ascii="Times New Roman" w:hAnsi="Times New Roman" w:eastAsia="仿宋_GB2312" w:cs="Times New Roman"/>
          <w:sz w:val="32"/>
          <w:szCs w:val="32"/>
        </w:rPr>
        <w:t>%，占规模以上工业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为11.3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</w:t>
      </w:r>
      <w:r>
        <w:rPr>
          <w:rFonts w:ascii="Times New Roman" w:hAnsi="Times New Roman" w:eastAsia="仿宋_GB2312" w:cs="Times New Roman"/>
          <w:sz w:val="32"/>
          <w:szCs w:val="32"/>
        </w:rPr>
        <w:t>拉全县工业增长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0.5</w:t>
      </w:r>
      <w:r>
        <w:rPr>
          <w:rFonts w:ascii="Times New Roman" w:hAnsi="Times New Roman" w:eastAsia="仿宋_GB2312" w:cs="Times New Roman"/>
          <w:sz w:val="32"/>
          <w:szCs w:val="32"/>
        </w:rPr>
        <w:t>个百分点。</w:t>
      </w:r>
    </w:p>
    <w:p>
      <w:pPr>
        <w:spacing w:line="540" w:lineRule="exact"/>
        <w:ind w:firstLine="640" w:firstLineChars="200"/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全县战略性新兴产业增加值完成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4.5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增长11.8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，战略性新兴产业增加值占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24.8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55.6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2.7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全县高新技术产业完成增加值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13.2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6.4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，高新技术产业增加值占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73.0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工业增长的贡献率达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94.2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，拉动全县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4.6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全县高技术产业完成增加值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1.1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6.5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，高技术产业增加值占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工业增加值的比重为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6.0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为7.2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全县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规上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工业增长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0.4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个百分点。</w:t>
      </w:r>
    </w:p>
    <w:p>
      <w:pPr>
        <w:numPr>
          <w:ilvl w:val="0"/>
          <w:numId w:val="1"/>
        </w:numPr>
        <w:ind w:firstLine="619" w:firstLineChars="200"/>
        <w:rPr>
          <w:rFonts w:hint="eastAsia" w:ascii="宋体" w:hAnsi="宋体" w:eastAsia="宋体" w:cs="宋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固定资产投资增速由负转正，工业投资持续增强</w:t>
      </w:r>
    </w:p>
    <w:p>
      <w:pPr>
        <w:numPr>
          <w:ilvl w:val="0"/>
          <w:numId w:val="0"/>
        </w:numPr>
        <w:ind w:firstLine="616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1-8月份，全县固定资产投资完成61.63亿元，同比增长1.4%，位居全市第五位。高于全市平均水平（-0.1%）1.5个百分点。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建筑安装工程完成投资</w:t>
      </w:r>
      <w:r>
        <w:rPr>
          <w:rFonts w:hint="eastAsia" w:ascii="宋体" w:hAnsi="宋体" w:eastAsia="宋体" w:cs="宋体"/>
          <w:sz w:val="32"/>
          <w:szCs w:val="32"/>
        </w:rPr>
        <w:t>50.84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亿元，同比下降1.4%，较上月提高17.6个百分点。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Chars="0" w:firstLine="616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分产业看：第一产业投资完成1.89亿元，同比增长42.1%：第二产业投资完成14.49亿元，同比增长23.9%：第三产业投资完成45.25亿元，同比下降5.2%。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完成投资14.49亿元，同比增长23.9%，但较上月下滑1.9个百分点，拉动固定资产投资增长4.6个百分点，高于全市平均水平（5.9%）18个百分点，居全市第三位。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 w:firstLine="643" w:firstLineChars="200"/>
        <w:jc w:val="left"/>
        <w:rPr>
          <w:rFonts w:hint="eastAsia" w:ascii="宋体" w:hAnsi="宋体" w:cs="宋体"/>
          <w:b/>
          <w:bCs/>
          <w:i w:val="0"/>
          <w:caps w:val="0"/>
          <w:color w:val="333333"/>
          <w:spacing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333333"/>
          <w:spacing w:val="0"/>
          <w:sz w:val="32"/>
          <w:szCs w:val="32"/>
          <w:lang w:val="en-US" w:eastAsia="zh-CN"/>
        </w:rPr>
        <w:t>三、1-8月份消费品市场持续恢复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640" w:firstLineChars="200"/>
        <w:jc w:val="left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1-8月份，全县社会消费品零售总额完成94.87亿元，同比增长4.2%，增速分别低于全国、河南省、濮阳市0.4、0.8、0.5个百分点，位于全市第六位。8月当月社会消费品零售总额完成11.58亿元，同比增长2.8%。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643" w:firstLineChars="200"/>
        <w:jc w:val="left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财政收支运行平稳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default" w:ascii="宋体" w:hAnsi="宋体" w:eastAsia="宋体" w:cs="宋体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1-8月份，全县一般公共预算收入12.18亿元，同比增长0.8%，其中税收收入8.98亿元，增长0.4%，税比73.7%，一般公共预算支出34.48亿元，同比增长1.4%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 w:firstLine="643" w:firstLineChars="200"/>
        <w:jc w:val="left"/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shd w:val="clear" w:color="auto" w:fill="FFFFFF"/>
        </w:rPr>
        <w:t>电力消耗呈现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缓慢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shd w:val="clear" w:color="auto" w:fill="FFFFFF"/>
        </w:rPr>
        <w:t>增长态势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1-8月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全县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全社会用电量1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42902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增长5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.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工业用电量4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6433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</w:t>
      </w:r>
      <w:bookmarkStart w:id="0" w:name="_GoBack"/>
      <w:bookmarkEnd w:id="0"/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8.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5C402E"/>
    <w:multiLevelType w:val="singleLevel"/>
    <w:tmpl w:val="C95C402E"/>
    <w:lvl w:ilvl="0" w:tentative="0">
      <w:start w:val="5"/>
      <w:numFmt w:val="chineseCounting"/>
      <w:suff w:val="nothing"/>
      <w:lvlText w:val="%1、"/>
      <w:lvlJc w:val="left"/>
      <w:rPr>
        <w:rFonts w:hint="eastAsia" w:asciiTheme="majorEastAsia" w:hAnsiTheme="majorEastAsia" w:eastAsiaTheme="majorEastAsia" w:cstheme="majorEastAsia"/>
      </w:rPr>
    </w:lvl>
  </w:abstractNum>
  <w:abstractNum w:abstractNumId="1">
    <w:nsid w:val="D9697D54"/>
    <w:multiLevelType w:val="singleLevel"/>
    <w:tmpl w:val="D9697D54"/>
    <w:lvl w:ilvl="0" w:tentative="0">
      <w:start w:val="4"/>
      <w:numFmt w:val="chineseCounting"/>
      <w:suff w:val="nothing"/>
      <w:lvlText w:val="%1，"/>
      <w:lvlJc w:val="left"/>
      <w:rPr>
        <w:rFonts w:hint="eastAsia"/>
      </w:rPr>
    </w:lvl>
  </w:abstractNum>
  <w:abstractNum w:abstractNumId="2">
    <w:nsid w:val="0A11DA05"/>
    <w:multiLevelType w:val="singleLevel"/>
    <w:tmpl w:val="0A11DA0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MTgwNjUzZDkxZGZlNzNmYmZlOWUxMTljZTg0ZGEifQ=="/>
  </w:docVars>
  <w:rsids>
    <w:rsidRoot w:val="00000000"/>
    <w:rsid w:val="03605B58"/>
    <w:rsid w:val="239B4FCF"/>
    <w:rsid w:val="25B65A9E"/>
    <w:rsid w:val="35A54B67"/>
    <w:rsid w:val="5E0E487F"/>
    <w:rsid w:val="6DA100C0"/>
    <w:rsid w:val="76677FB0"/>
    <w:rsid w:val="778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2023-09-27T08:11:00Z</dcterms:created>
  <dc:creator>lenovo</dc:creator>
  <cp:lastModifiedBy>Administrator</cp:lastModifiedBy>
  <dcterms:modified xsi:type="dcterms:W3CDTF">2023-09-27T10:27:26Z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CA99C648BD414E64B4F9AE1543248CB9_12</vt:lpwstr>
  </property>
</Properties>
</file>