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611" w:type="dxa"/>
        <w:tblInd w:w="0" w:type="dxa"/>
        <w:tblLayout w:type="fixed"/>
        <w:tblCellMar>
          <w:top w:w="0" w:type="dxa"/>
          <w:left w:w="108" w:type="dxa"/>
          <w:bottom w:w="0" w:type="dxa"/>
          <w:right w:w="108" w:type="dxa"/>
        </w:tblCellMar>
      </w:tblPr>
      <w:tblGrid>
        <w:gridCol w:w="440"/>
        <w:gridCol w:w="1074"/>
        <w:gridCol w:w="981"/>
        <w:gridCol w:w="1000"/>
        <w:gridCol w:w="2016"/>
        <w:gridCol w:w="806"/>
        <w:gridCol w:w="924"/>
        <w:gridCol w:w="2692"/>
        <w:gridCol w:w="567"/>
        <w:gridCol w:w="709"/>
        <w:gridCol w:w="567"/>
        <w:gridCol w:w="708"/>
        <w:gridCol w:w="567"/>
        <w:gridCol w:w="166"/>
        <w:gridCol w:w="394"/>
      </w:tblGrid>
      <w:tr>
        <w:tblPrEx>
          <w:tblCellMar>
            <w:top w:w="0" w:type="dxa"/>
            <w:left w:w="108" w:type="dxa"/>
            <w:bottom w:w="0" w:type="dxa"/>
            <w:right w:w="108" w:type="dxa"/>
          </w:tblCellMar>
        </w:tblPrEx>
        <w:trPr>
          <w:trHeight w:val="1035" w:hRule="atLeast"/>
        </w:trPr>
        <w:tc>
          <w:tcPr>
            <w:tcW w:w="13217" w:type="dxa"/>
            <w:gridSpan w:val="14"/>
            <w:tcMar>
              <w:top w:w="15" w:type="dxa"/>
              <w:left w:w="15" w:type="dxa"/>
              <w:bottom w:w="15" w:type="dxa"/>
              <w:right w:w="15" w:type="dxa"/>
            </w:tcMar>
            <w:vAlign w:val="center"/>
          </w:tcPr>
          <w:p>
            <w:pPr>
              <w:adjustRightInd w:val="0"/>
              <w:spacing w:line="360" w:lineRule="auto"/>
              <w:jc w:val="center"/>
              <w:rPr>
                <w:rFonts w:ascii="宋体" w:cs="宋体"/>
                <w:b/>
                <w:sz w:val="44"/>
                <w:szCs w:val="44"/>
              </w:rPr>
            </w:pPr>
            <w:r>
              <w:rPr>
                <w:rFonts w:hint="eastAsia" w:ascii="宋体" w:hAnsi="宋体" w:cs="宋体"/>
                <w:b/>
                <w:sz w:val="44"/>
                <w:szCs w:val="44"/>
              </w:rPr>
              <w:t>濮阳</w:t>
            </w:r>
            <w:r>
              <w:rPr>
                <w:rFonts w:hint="eastAsia" w:ascii="宋体" w:hAnsi="宋体" w:cs="宋体"/>
                <w:b/>
                <w:sz w:val="44"/>
                <w:szCs w:val="44"/>
                <w:lang w:eastAsia="zh-CN"/>
              </w:rPr>
              <w:t>县</w:t>
            </w:r>
            <w:r>
              <w:rPr>
                <w:rFonts w:hint="eastAsia" w:ascii="宋体" w:hAnsi="宋体" w:cs="宋体"/>
                <w:b/>
                <w:sz w:val="44"/>
                <w:szCs w:val="44"/>
              </w:rPr>
              <w:t>公共法律服务领域基层政务公开标准目录</w:t>
            </w:r>
          </w:p>
        </w:tc>
        <w:tc>
          <w:tcPr>
            <w:tcW w:w="394" w:type="dxa"/>
            <w:tcMar>
              <w:top w:w="15" w:type="dxa"/>
              <w:left w:w="15" w:type="dxa"/>
              <w:bottom w:w="15" w:type="dxa"/>
              <w:right w:w="15" w:type="dxa"/>
            </w:tcMar>
            <w:vAlign w:val="center"/>
          </w:tcPr>
          <w:p>
            <w:pPr>
              <w:widowControl/>
              <w:jc w:val="center"/>
              <w:textAlignment w:val="center"/>
              <w:rPr>
                <w:rFonts w:ascii="宋体" w:cs="宋体"/>
                <w:b/>
                <w:color w:val="000000"/>
                <w:sz w:val="40"/>
                <w:szCs w:val="40"/>
              </w:rPr>
            </w:pPr>
          </w:p>
        </w:tc>
      </w:tr>
      <w:tr>
        <w:tblPrEx>
          <w:tblCellMar>
            <w:top w:w="0" w:type="dxa"/>
            <w:left w:w="108" w:type="dxa"/>
            <w:bottom w:w="0" w:type="dxa"/>
            <w:right w:w="108" w:type="dxa"/>
          </w:tblCellMar>
        </w:tblPrEx>
        <w:trPr>
          <w:trHeight w:val="212" w:hRule="atLeast"/>
        </w:trPr>
        <w:tc>
          <w:tcPr>
            <w:tcW w:w="44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205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100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01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0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924"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692"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1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0" w:type="dxa"/>
            <w:left w:w="108" w:type="dxa"/>
            <w:bottom w:w="0" w:type="dxa"/>
            <w:right w:w="108" w:type="dxa"/>
          </w:tblCellMar>
        </w:tblPrEx>
        <w:trPr>
          <w:trHeight w:val="337" w:hRule="atLeast"/>
        </w:trPr>
        <w:tc>
          <w:tcPr>
            <w:tcW w:w="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1074"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9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10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80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92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26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黑体" w:hAnsi="宋体" w:eastAsia="黑体" w:cs="黑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县级</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乡级</w:t>
            </w:r>
          </w:p>
        </w:tc>
      </w:tr>
      <w:tr>
        <w:tblPrEx>
          <w:tblCellMar>
            <w:top w:w="0" w:type="dxa"/>
            <w:left w:w="108" w:type="dxa"/>
            <w:bottom w:w="0" w:type="dxa"/>
            <w:right w:w="108" w:type="dxa"/>
          </w:tblCellMar>
        </w:tblPrEx>
        <w:trPr>
          <w:trHeight w:val="3108" w:hRule="atLeast"/>
        </w:trPr>
        <w:tc>
          <w:tcPr>
            <w:tcW w:w="44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1</w:t>
            </w:r>
          </w:p>
        </w:tc>
        <w:tc>
          <w:tcPr>
            <w:tcW w:w="1074" w:type="dxa"/>
            <w:vMerge w:val="restart"/>
            <w:tcBorders>
              <w:top w:val="single" w:color="auto" w:sz="4" w:space="0"/>
              <w:left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ascii="宋体" w:cs="宋体"/>
                <w:color w:val="000000"/>
                <w:kern w:val="0"/>
                <w:sz w:val="18"/>
                <w:szCs w:val="18"/>
              </w:rPr>
            </w:pPr>
            <w:r>
              <w:rPr>
                <w:rFonts w:hint="eastAsia" w:ascii="宋体" w:hAnsi="宋体" w:cs="宋体"/>
                <w:color w:val="000000"/>
                <w:kern w:val="0"/>
                <w:sz w:val="18"/>
                <w:szCs w:val="18"/>
              </w:rPr>
              <w:t>法治宣传</w:t>
            </w:r>
          </w:p>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教育</w:t>
            </w: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both"/>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jc w:val="center"/>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法律知识普及服务</w:t>
            </w: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both"/>
              <w:textAlignment w:val="center"/>
              <w:rPr>
                <w:rFonts w:hint="eastAsia" w:ascii="宋体" w:hAnsi="宋体" w:cs="宋体"/>
                <w:color w:val="000000"/>
                <w:sz w:val="18"/>
                <w:szCs w:val="18"/>
              </w:rPr>
            </w:pP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numPr>
                <w:ilvl w:val="0"/>
                <w:numId w:val="1"/>
              </w:numPr>
              <w:textAlignment w:val="center"/>
              <w:rPr>
                <w:rFonts w:ascii="宋体" w:cs="宋体"/>
                <w:color w:val="000000"/>
                <w:kern w:val="0"/>
                <w:sz w:val="18"/>
                <w:szCs w:val="18"/>
              </w:rPr>
            </w:pPr>
            <w:r>
              <w:rPr>
                <w:rFonts w:hint="eastAsia" w:ascii="宋体" w:hAnsi="宋体" w:cs="宋体"/>
                <w:color w:val="000000"/>
                <w:kern w:val="0"/>
                <w:sz w:val="18"/>
                <w:szCs w:val="18"/>
              </w:rPr>
              <w:t>法律法规资讯；</w:t>
            </w:r>
          </w:p>
          <w:p>
            <w:pPr>
              <w:widowControl/>
              <w:numPr>
                <w:ilvl w:val="0"/>
                <w:numId w:val="1"/>
              </w:numPr>
              <w:textAlignment w:val="center"/>
              <w:rPr>
                <w:rFonts w:ascii="宋体" w:cs="宋体"/>
                <w:color w:val="000000"/>
                <w:kern w:val="0"/>
                <w:sz w:val="18"/>
                <w:szCs w:val="18"/>
              </w:rPr>
            </w:pPr>
            <w:r>
              <w:rPr>
                <w:rFonts w:hint="eastAsia" w:ascii="宋体" w:hAnsi="宋体" w:cs="宋体"/>
                <w:color w:val="000000"/>
                <w:kern w:val="0"/>
                <w:sz w:val="18"/>
                <w:szCs w:val="18"/>
              </w:rPr>
              <w:t>普法动态资讯；</w:t>
            </w:r>
          </w:p>
          <w:p>
            <w:pPr>
              <w:widowControl/>
              <w:numPr>
                <w:ilvl w:val="0"/>
                <w:numId w:val="1"/>
              </w:numPr>
              <w:textAlignment w:val="center"/>
              <w:rPr>
                <w:rFonts w:ascii="宋体" w:cs="宋体"/>
                <w:color w:val="000000"/>
                <w:kern w:val="0"/>
                <w:sz w:val="18"/>
                <w:szCs w:val="18"/>
              </w:rPr>
            </w:pPr>
            <w:r>
              <w:rPr>
                <w:rFonts w:hint="eastAsia" w:ascii="宋体" w:hAnsi="宋体" w:cs="宋体"/>
                <w:color w:val="000000"/>
                <w:kern w:val="0"/>
                <w:sz w:val="18"/>
                <w:szCs w:val="18"/>
              </w:rPr>
              <w:t>普法讲师团信息等</w:t>
            </w:r>
          </w:p>
          <w:p>
            <w:pPr>
              <w:widowControl/>
              <w:numPr>
                <w:numId w:val="0"/>
              </w:numPr>
              <w:jc w:val="both"/>
              <w:textAlignment w:val="center"/>
              <w:rPr>
                <w:rFonts w:hint="eastAsia" w:ascii="宋体" w:hAnsi="宋体" w:cs="宋体"/>
                <w:color w:val="000000"/>
                <w:kern w:val="0"/>
                <w:sz w:val="18"/>
                <w:szCs w:val="18"/>
              </w:rPr>
            </w:pPr>
          </w:p>
          <w:p>
            <w:pPr>
              <w:widowControl/>
              <w:numPr>
                <w:numId w:val="0"/>
              </w:numPr>
              <w:jc w:val="both"/>
              <w:textAlignment w:val="center"/>
              <w:rPr>
                <w:rFonts w:hint="eastAsia" w:ascii="宋体" w:hAnsi="宋体" w:cs="宋体"/>
                <w:color w:val="000000"/>
                <w:kern w:val="0"/>
                <w:sz w:val="18"/>
                <w:szCs w:val="18"/>
              </w:rPr>
            </w:pP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年）》《河南省“七五”普法规划》《</w:t>
            </w:r>
            <w:r>
              <w:rPr>
                <w:rFonts w:hint="eastAsia" w:ascii="宋体" w:hAnsi="宋体" w:cs="宋体"/>
                <w:color w:val="000000"/>
                <w:sz w:val="18"/>
                <w:szCs w:val="18"/>
              </w:rPr>
              <w:t>濮阳市“七五”普法规划</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《濮阳县“七五”普法规划》</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both"/>
              <w:textAlignment w:val="center"/>
              <w:rPr>
                <w:rFonts w:hint="eastAsia" w:ascii="宋体" w:hAnsi="宋体" w:cs="宋体"/>
                <w:color w:val="000000"/>
                <w:kern w:val="0"/>
                <w:sz w:val="18"/>
                <w:szCs w:val="18"/>
              </w:rPr>
            </w:pP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司法行政部门</w:t>
            </w: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center"/>
              <w:textAlignment w:val="center"/>
              <w:rPr>
                <w:rFonts w:hint="eastAsia" w:ascii="宋体" w:hAnsi="宋体" w:cs="宋体"/>
                <w:color w:val="000000"/>
                <w:kern w:val="0"/>
                <w:sz w:val="18"/>
                <w:szCs w:val="18"/>
              </w:rPr>
            </w:pPr>
          </w:p>
          <w:p>
            <w:pPr>
              <w:widowControl/>
              <w:jc w:val="both"/>
              <w:textAlignment w:val="center"/>
              <w:rPr>
                <w:rFonts w:hint="eastAsia" w:ascii="宋体" w:hAnsi="宋体" w:cs="宋体"/>
                <w:color w:val="000000"/>
                <w:kern w:val="0"/>
                <w:sz w:val="18"/>
                <w:szCs w:val="18"/>
              </w:rPr>
            </w:pP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0" w:type="dxa"/>
            <w:left w:w="108" w:type="dxa"/>
            <w:bottom w:w="0" w:type="dxa"/>
            <w:right w:w="108" w:type="dxa"/>
          </w:tblCellMar>
        </w:tblPrEx>
        <w:trPr>
          <w:trHeight w:val="2160" w:hRule="atLeast"/>
        </w:trPr>
        <w:tc>
          <w:tcPr>
            <w:tcW w:w="44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2</w:t>
            </w:r>
          </w:p>
        </w:tc>
        <w:tc>
          <w:tcPr>
            <w:tcW w:w="1074" w:type="dxa"/>
            <w:vMerge w:val="continue"/>
            <w:tcBorders>
              <w:left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推广法治文化服务</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辖区内法治文化阵地信息；</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法治文化作品、产品</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《中央宣传部、司法部关于在公民中开展法治宣传教育的第七个五年规划（</w:t>
            </w:r>
            <w:r>
              <w:rPr>
                <w:rFonts w:ascii="宋体" w:hAnsi="宋体" w:cs="宋体"/>
                <w:color w:val="000000"/>
                <w:kern w:val="0"/>
                <w:sz w:val="18"/>
                <w:szCs w:val="18"/>
              </w:rPr>
              <w:t>2016</w:t>
            </w:r>
            <w:r>
              <w:rPr>
                <w:rFonts w:hint="eastAsia" w:ascii="宋体" w:hAnsi="宋体" w:cs="宋体"/>
                <w:color w:val="000000"/>
                <w:kern w:val="0"/>
                <w:sz w:val="18"/>
                <w:szCs w:val="18"/>
              </w:rPr>
              <w:t>－</w:t>
            </w:r>
            <w:r>
              <w:rPr>
                <w:rFonts w:ascii="宋体" w:hAnsi="宋体" w:cs="宋体"/>
                <w:color w:val="000000"/>
                <w:kern w:val="0"/>
                <w:sz w:val="18"/>
                <w:szCs w:val="18"/>
              </w:rPr>
              <w:t>2020</w:t>
            </w:r>
            <w:r>
              <w:rPr>
                <w:rFonts w:hint="eastAsia" w:ascii="宋体" w:hAnsi="宋体" w:cs="宋体"/>
                <w:color w:val="000000"/>
                <w:kern w:val="0"/>
                <w:sz w:val="18"/>
                <w:szCs w:val="18"/>
              </w:rPr>
              <w:t>年）》《河南省“七五”普法规划》</w:t>
            </w:r>
          </w:p>
          <w:p>
            <w:pPr>
              <w:jc w:val="center"/>
              <w:rPr>
                <w:rFonts w:ascii="宋体" w:cs="宋体"/>
                <w:color w:val="000000"/>
                <w:kern w:val="0"/>
                <w:sz w:val="18"/>
                <w:szCs w:val="18"/>
              </w:rPr>
            </w:pPr>
            <w:r>
              <w:rPr>
                <w:rFonts w:hint="eastAsia" w:ascii="宋体" w:hAnsi="宋体" w:cs="宋体"/>
                <w:color w:val="000000"/>
                <w:kern w:val="0"/>
                <w:sz w:val="18"/>
                <w:szCs w:val="18"/>
              </w:rPr>
              <w:t>《</w:t>
            </w:r>
            <w:r>
              <w:rPr>
                <w:rFonts w:hint="eastAsia" w:ascii="宋体" w:hAnsi="宋体" w:cs="宋体"/>
                <w:color w:val="000000"/>
                <w:sz w:val="18"/>
                <w:szCs w:val="18"/>
              </w:rPr>
              <w:t>濮阳市“七五”普法规划</w:t>
            </w:r>
            <w:r>
              <w:rPr>
                <w:rFonts w:hint="eastAsia" w:ascii="宋体" w:hAnsi="宋体" w:cs="宋体"/>
                <w:color w:val="000000"/>
                <w:kern w:val="0"/>
                <w:sz w:val="18"/>
                <w:szCs w:val="18"/>
              </w:rPr>
              <w:t>》</w:t>
            </w:r>
            <w:r>
              <w:rPr>
                <w:rFonts w:hint="eastAsia" w:ascii="宋体" w:hAnsi="宋体" w:cs="宋体"/>
                <w:color w:val="000000"/>
                <w:kern w:val="0"/>
                <w:sz w:val="18"/>
                <w:szCs w:val="18"/>
                <w:lang w:eastAsia="zh-CN"/>
              </w:rPr>
              <w:t>《濮阳县“七五”普法规划》</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CellMar>
            <w:top w:w="0" w:type="dxa"/>
            <w:left w:w="108" w:type="dxa"/>
            <w:bottom w:w="0" w:type="dxa"/>
            <w:right w:w="108" w:type="dxa"/>
          </w:tblCellMar>
        </w:tblPrEx>
        <w:trPr>
          <w:trHeight w:val="1960" w:hRule="atLeast"/>
        </w:trPr>
        <w:tc>
          <w:tcPr>
            <w:tcW w:w="440" w:type="dxa"/>
            <w:tcBorders>
              <w:top w:val="single" w:color="000000" w:sz="4" w:space="0"/>
              <w:left w:val="single" w:color="000000"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3</w:t>
            </w:r>
          </w:p>
        </w:tc>
        <w:tc>
          <w:tcPr>
            <w:tcW w:w="1074" w:type="dxa"/>
            <w:vMerge w:val="continue"/>
            <w:tcBorders>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981" w:type="dxa"/>
            <w:tcBorders>
              <w:top w:val="single" w:color="000000" w:sz="4" w:space="0"/>
              <w:left w:val="single" w:color="auto" w:sz="4" w:space="0"/>
              <w:bottom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对在法治宣传教育工作中做出显著成绩的单位和个人进行表彰奖励</w:t>
            </w:r>
          </w:p>
        </w:tc>
        <w:tc>
          <w:tcPr>
            <w:tcW w:w="1000"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评选表彰通知；</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先进集体和个人申报表（空白表）；</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拟表彰的先进集体先进个人名单；</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表彰决定</w:t>
            </w:r>
          </w:p>
        </w:tc>
        <w:tc>
          <w:tcPr>
            <w:tcW w:w="2016"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《中央宣传部、司法部关于在公民中开展法治宣传教育的第七个五年规划（</w:t>
            </w:r>
            <w:r>
              <w:rPr>
                <w:rFonts w:ascii="宋体" w:hAnsi="宋体" w:cs="宋体"/>
                <w:color w:val="000000"/>
                <w:sz w:val="18"/>
                <w:szCs w:val="18"/>
              </w:rPr>
              <w:t>2016</w:t>
            </w:r>
            <w:r>
              <w:rPr>
                <w:rFonts w:hint="eastAsia" w:ascii="宋体" w:hAnsi="宋体" w:cs="宋体"/>
                <w:color w:val="000000"/>
                <w:sz w:val="18"/>
                <w:szCs w:val="18"/>
              </w:rPr>
              <w:t>－</w:t>
            </w:r>
            <w:r>
              <w:rPr>
                <w:rFonts w:ascii="宋体" w:hAnsi="宋体" w:cs="宋体"/>
                <w:color w:val="000000"/>
                <w:sz w:val="18"/>
                <w:szCs w:val="18"/>
              </w:rPr>
              <w:t>2020</w:t>
            </w:r>
            <w:r>
              <w:rPr>
                <w:rFonts w:hint="eastAsia" w:ascii="宋体" w:hAnsi="宋体" w:cs="宋体"/>
                <w:color w:val="000000"/>
                <w:sz w:val="18"/>
                <w:szCs w:val="18"/>
              </w:rPr>
              <w:t>年）》</w:t>
            </w:r>
          </w:p>
          <w:p>
            <w:pPr>
              <w:jc w:val="center"/>
              <w:rPr>
                <w:rFonts w:ascii="宋体" w:cs="宋体"/>
                <w:color w:val="000000"/>
                <w:sz w:val="18"/>
                <w:szCs w:val="18"/>
              </w:rPr>
            </w:pPr>
            <w:r>
              <w:rPr>
                <w:rFonts w:hint="eastAsia" w:ascii="宋体" w:hAnsi="宋体" w:cs="宋体"/>
                <w:color w:val="000000"/>
                <w:sz w:val="18"/>
                <w:szCs w:val="18"/>
              </w:rPr>
              <w:t>《河南省“七五”普法规划》《濮阳市“七五”普法规划》</w:t>
            </w:r>
            <w:r>
              <w:rPr>
                <w:rFonts w:hint="eastAsia" w:ascii="宋体" w:hAnsi="宋体" w:cs="宋体"/>
                <w:color w:val="000000"/>
                <w:kern w:val="0"/>
                <w:sz w:val="18"/>
                <w:szCs w:val="18"/>
                <w:lang w:eastAsia="zh-CN"/>
              </w:rPr>
              <w:t>《濮阳县“七五”普法规划》</w:t>
            </w:r>
          </w:p>
        </w:tc>
        <w:tc>
          <w:tcPr>
            <w:tcW w:w="806"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7</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auto"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160" w:hRule="atLeast"/>
        </w:trPr>
        <w:tc>
          <w:tcPr>
            <w:tcW w:w="44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cs="宋体"/>
                <w:color w:val="000000"/>
                <w:kern w:val="0"/>
                <w:sz w:val="18"/>
                <w:szCs w:val="18"/>
              </w:rPr>
            </w:pPr>
            <w:r>
              <w:rPr>
                <w:rFonts w:ascii="宋体" w:hAnsi="宋体" w:cs="宋体"/>
                <w:color w:val="000000"/>
                <w:kern w:val="0"/>
                <w:sz w:val="18"/>
                <w:szCs w:val="18"/>
              </w:rPr>
              <w:t>4</w:t>
            </w:r>
          </w:p>
        </w:tc>
        <w:tc>
          <w:tcPr>
            <w:tcW w:w="10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律师</w:t>
            </w:r>
          </w:p>
        </w:tc>
        <w:tc>
          <w:tcPr>
            <w:tcW w:w="981"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对没有取得律师执业证书以律师名义从事法律业务行为的处罚</w:t>
            </w:r>
          </w:p>
        </w:tc>
        <w:tc>
          <w:tcPr>
            <w:tcW w:w="100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行政处罚决定或行政处罚决定书</w:t>
            </w:r>
          </w:p>
        </w:tc>
        <w:tc>
          <w:tcPr>
            <w:tcW w:w="201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《中华人民共和国律师法》</w:t>
            </w:r>
          </w:p>
        </w:tc>
        <w:tc>
          <w:tcPr>
            <w:tcW w:w="806"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7</w:t>
            </w:r>
            <w:r>
              <w:rPr>
                <w:rFonts w:hint="eastAsia" w:ascii="宋体" w:hAnsi="宋体" w:cs="宋体"/>
                <w:color w:val="000000"/>
                <w:kern w:val="0"/>
                <w:sz w:val="18"/>
                <w:szCs w:val="18"/>
              </w:rPr>
              <w:t>个工作日内公开</w:t>
            </w:r>
          </w:p>
        </w:tc>
        <w:tc>
          <w:tcPr>
            <w:tcW w:w="92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kern w:val="0"/>
                <w:sz w:val="18"/>
                <w:szCs w:val="18"/>
              </w:rPr>
              <w:t>司法行政部门</w:t>
            </w:r>
          </w:p>
        </w:tc>
        <w:tc>
          <w:tcPr>
            <w:tcW w:w="2692"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p>
            <w:pPr>
              <w:widowControl/>
              <w:jc w:val="left"/>
              <w:textAlignment w:val="center"/>
              <w:rPr>
                <w:rFonts w:ascii="仿宋" w:hAnsi="仿宋" w:eastAsia="仿宋" w:cs="仿宋"/>
                <w:color w:val="000000"/>
                <w:sz w:val="18"/>
                <w:szCs w:val="18"/>
                <w:u w:val="single"/>
              </w:rPr>
            </w:pP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楷体" w:hAnsi="楷体" w:eastAsia="楷体"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160" w:hRule="atLeast"/>
        </w:trPr>
        <w:tc>
          <w:tcPr>
            <w:tcW w:w="440" w:type="dxa"/>
            <w:tcBorders>
              <w:top w:val="single" w:color="auto"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val="en-US" w:eastAsia="zh-CN"/>
              </w:rPr>
              <w:t>5</w:t>
            </w:r>
          </w:p>
        </w:tc>
        <w:tc>
          <w:tcPr>
            <w:tcW w:w="1074" w:type="dxa"/>
            <w:vMerge w:val="restar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法律援助</w:t>
            </w: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both"/>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center"/>
              <w:rPr>
                <w:rFonts w:hint="eastAsia" w:ascii="宋体" w:hAnsi="宋体" w:cs="宋体"/>
                <w:color w:val="000000"/>
                <w:sz w:val="18"/>
                <w:szCs w:val="18"/>
              </w:rPr>
            </w:pPr>
          </w:p>
          <w:p>
            <w:pPr>
              <w:jc w:val="both"/>
              <w:rPr>
                <w:rFonts w:hint="eastAsia" w:ascii="宋体" w:hAnsi="宋体" w:cs="宋体"/>
                <w:color w:val="000000"/>
                <w:sz w:val="18"/>
                <w:szCs w:val="18"/>
                <w:lang w:eastAsia="zh-CN"/>
              </w:rPr>
            </w:pPr>
          </w:p>
          <w:p>
            <w:pPr>
              <w:jc w:val="center"/>
              <w:rPr>
                <w:rFonts w:hint="eastAsia" w:ascii="宋体" w:hAnsi="宋体" w:cs="宋体"/>
                <w:color w:val="000000"/>
                <w:sz w:val="18"/>
                <w:szCs w:val="18"/>
                <w:lang w:eastAsia="zh-CN"/>
              </w:rPr>
            </w:pPr>
          </w:p>
          <w:p>
            <w:pPr>
              <w:jc w:val="center"/>
              <w:rPr>
                <w:rFonts w:hint="eastAsia" w:ascii="宋体" w:hAnsi="宋体" w:cs="宋体"/>
                <w:color w:val="000000"/>
                <w:sz w:val="18"/>
                <w:szCs w:val="18"/>
                <w:lang w:eastAsia="zh-CN"/>
              </w:rPr>
            </w:pPr>
          </w:p>
          <w:p>
            <w:pPr>
              <w:jc w:val="center"/>
              <w:rPr>
                <w:rFonts w:hint="eastAsia" w:ascii="宋体" w:hAnsi="宋体" w:cs="宋体"/>
                <w:color w:val="000000"/>
                <w:sz w:val="18"/>
                <w:szCs w:val="18"/>
                <w:lang w:eastAsia="zh-CN"/>
              </w:rPr>
            </w:pPr>
          </w:p>
          <w:p>
            <w:pPr>
              <w:jc w:val="center"/>
              <w:rPr>
                <w:rFonts w:hint="eastAsia" w:ascii="宋体" w:hAnsi="宋体" w:eastAsia="宋体" w:cs="宋体"/>
                <w:color w:val="000000"/>
                <w:sz w:val="18"/>
                <w:szCs w:val="18"/>
                <w:lang w:eastAsia="zh-CN"/>
              </w:rPr>
            </w:pPr>
            <w:r>
              <w:rPr>
                <w:rFonts w:hint="eastAsia" w:ascii="宋体" w:hAnsi="宋体" w:cs="宋体"/>
                <w:color w:val="000000"/>
                <w:sz w:val="18"/>
                <w:szCs w:val="18"/>
                <w:lang w:eastAsia="zh-CN"/>
              </w:rPr>
              <w:t>基层法律服务</w:t>
            </w:r>
          </w:p>
          <w:p>
            <w:pPr>
              <w:jc w:val="center"/>
              <w:rPr>
                <w:rFonts w:ascii="宋体" w:cs="宋体"/>
                <w:color w:val="000000"/>
                <w:sz w:val="18"/>
                <w:szCs w:val="18"/>
              </w:rPr>
            </w:pPr>
          </w:p>
        </w:tc>
        <w:tc>
          <w:tcPr>
            <w:tcW w:w="981" w:type="dxa"/>
            <w:tcBorders>
              <w:top w:val="single" w:color="auto"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法律援助服务</w:t>
            </w:r>
          </w:p>
        </w:tc>
        <w:tc>
          <w:tcPr>
            <w:tcW w:w="1000"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给予法律援助决定书；</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不予法律援助决定书；</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指派通知书</w:t>
            </w:r>
          </w:p>
        </w:tc>
        <w:tc>
          <w:tcPr>
            <w:tcW w:w="201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《法律援助条例》《河南省法律援助条例》</w:t>
            </w:r>
          </w:p>
        </w:tc>
        <w:tc>
          <w:tcPr>
            <w:tcW w:w="806"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7</w:t>
            </w:r>
            <w:r>
              <w:rPr>
                <w:rFonts w:hint="eastAsia" w:ascii="宋体" w:hAnsi="宋体" w:cs="宋体"/>
                <w:color w:val="000000"/>
                <w:kern w:val="0"/>
                <w:sz w:val="18"/>
                <w:szCs w:val="18"/>
              </w:rPr>
              <w:t>个工作日内公开</w:t>
            </w:r>
          </w:p>
        </w:tc>
        <w:tc>
          <w:tcPr>
            <w:tcW w:w="924"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法律援助机构</w:t>
            </w:r>
          </w:p>
        </w:tc>
        <w:tc>
          <w:tcPr>
            <w:tcW w:w="2692"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p>
        </w:tc>
        <w:tc>
          <w:tcPr>
            <w:tcW w:w="56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709"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法律援助申请人、受指派的律师事务所或其他组织等</w:t>
            </w:r>
          </w:p>
        </w:tc>
        <w:tc>
          <w:tcPr>
            <w:tcW w:w="56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auto"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val="en-US" w:eastAsia="zh-CN"/>
              </w:rPr>
              <w:t>6</w:t>
            </w: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法律援助办案人员办案补贴的审核发放</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案件补贴审核发放表</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《法律援助条例》《河南省法律援助条例》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自收到公开申请之日起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法律援助机构</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543"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val="en-US" w:eastAsia="zh-CN"/>
              </w:rPr>
              <w:t>7</w:t>
            </w: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对法律援助机构不予援助决定异议的审查</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处理决定书</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《法律援助条例》《河南省法律援助条例》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自收到公开申请之日起</w:t>
            </w:r>
            <w:r>
              <w:rPr>
                <w:rFonts w:ascii="宋体" w:hAnsi="宋体" w:cs="宋体"/>
                <w:color w:val="000000"/>
                <w:kern w:val="0"/>
                <w:sz w:val="18"/>
                <w:szCs w:val="18"/>
              </w:rPr>
              <w:t>7</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申请人</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val="en-US" w:eastAsia="zh-CN"/>
              </w:rPr>
              <w:t>8</w:t>
            </w: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对在法律援助工作中作出突出贡献的组织和个人进行表彰奖励</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评选表彰通知；</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先进集体和个人申报表（空白表）；</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拟表彰的先进集体先进个人名单；</w:t>
            </w:r>
          </w:p>
          <w:p>
            <w:pPr>
              <w:tabs>
                <w:tab w:val="center" w:pos="4153"/>
                <w:tab w:val="right" w:pos="8306"/>
              </w:tabs>
              <w:snapToGrid w:val="0"/>
              <w:spacing w:line="360" w:lineRule="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表彰决定</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《法律援助条例》《河南省法律援助条例》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r>
      <w:tr>
        <w:tblPrEx>
          <w:tblCellMar>
            <w:top w:w="0" w:type="dxa"/>
            <w:left w:w="108" w:type="dxa"/>
            <w:bottom w:w="0" w:type="dxa"/>
            <w:right w:w="108" w:type="dxa"/>
          </w:tblCellMar>
        </w:tblPrEx>
        <w:trPr>
          <w:trHeight w:val="2160"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行政处罚决定或行政处罚决定书</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《法律援助条例》《河南省法律援助条例》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7</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2809" w:hRule="atLeast"/>
        </w:trPr>
        <w:tc>
          <w:tcPr>
            <w:tcW w:w="440" w:type="dxa"/>
            <w:tcBorders>
              <w:top w:val="single" w:color="000000" w:sz="4" w:space="0"/>
              <w:left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0</w:t>
            </w:r>
          </w:p>
          <w:p>
            <w:pPr>
              <w:widowControl/>
              <w:jc w:val="both"/>
              <w:textAlignment w:val="center"/>
              <w:rPr>
                <w:rFonts w:ascii="宋体" w:cs="宋体"/>
                <w:color w:val="000000"/>
                <w:kern w:val="0"/>
                <w:sz w:val="18"/>
                <w:szCs w:val="18"/>
              </w:rPr>
            </w:pPr>
          </w:p>
        </w:tc>
        <w:tc>
          <w:tcPr>
            <w:tcW w:w="10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sz w:val="18"/>
                <w:szCs w:val="18"/>
              </w:rPr>
            </w:pPr>
          </w:p>
        </w:tc>
        <w:tc>
          <w:tcPr>
            <w:tcW w:w="981" w:type="dxa"/>
            <w:tcBorders>
              <w:top w:val="single" w:color="000000" w:sz="4" w:space="0"/>
              <w:left w:val="single" w:color="auto" w:sz="4" w:space="0"/>
              <w:right w:val="single" w:color="000000" w:sz="4" w:space="0"/>
            </w:tcBorders>
            <w:tcMar>
              <w:top w:w="15" w:type="dxa"/>
              <w:left w:w="15" w:type="dxa"/>
              <w:bottom w:w="15" w:type="dxa"/>
              <w:right w:w="15" w:type="dxa"/>
            </w:tcMar>
            <w:vAlign w:val="center"/>
          </w:tcPr>
          <w:p>
            <w:pPr>
              <w:widowControl/>
              <w:jc w:val="center"/>
              <w:textAlignment w:val="center"/>
              <w:rPr>
                <w:rFonts w:hint="eastAsia" w:ascii="宋体" w:hAnsi="宋体" w:cs="宋体"/>
                <w:color w:val="000000"/>
                <w:sz w:val="18"/>
                <w:szCs w:val="18"/>
              </w:rPr>
            </w:pPr>
            <w:r>
              <w:rPr>
                <w:rFonts w:hint="eastAsia" w:ascii="宋体" w:hAnsi="宋体" w:cs="宋体"/>
                <w:color w:val="000000"/>
                <w:sz w:val="18"/>
                <w:szCs w:val="18"/>
              </w:rPr>
              <w:t>对基层法律服务所、基层法律服务工作者进行表彰奖励</w:t>
            </w: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p>
            <w:pPr>
              <w:widowControl/>
              <w:jc w:val="center"/>
              <w:textAlignment w:val="center"/>
              <w:rPr>
                <w:rFonts w:hint="eastAsia" w:ascii="宋体" w:hAnsi="宋体" w:cs="宋体"/>
                <w:color w:val="000000"/>
                <w:sz w:val="18"/>
                <w:szCs w:val="18"/>
              </w:rPr>
            </w:pPr>
          </w:p>
        </w:tc>
        <w:tc>
          <w:tcPr>
            <w:tcW w:w="1000"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评选表彰通知；</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先进集体和个人申报表（空白表）；</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拟表彰的先进集体先进个人名单；</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表彰决定</w:t>
            </w:r>
          </w:p>
        </w:tc>
        <w:tc>
          <w:tcPr>
            <w:tcW w:w="2016"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《基层法律服务所管理办法》《基层法律服务工作者管理办法》</w:t>
            </w:r>
          </w:p>
        </w:tc>
        <w:tc>
          <w:tcPr>
            <w:tcW w:w="806"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FF0000"/>
                <w:kern w:val="0"/>
                <w:sz w:val="18"/>
                <w:szCs w:val="18"/>
              </w:rPr>
            </w:pPr>
          </w:p>
        </w:tc>
        <w:tc>
          <w:tcPr>
            <w:tcW w:w="567"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FF0000"/>
                <w:kern w:val="0"/>
                <w:sz w:val="18"/>
                <w:szCs w:val="18"/>
              </w:rPr>
            </w:pPr>
          </w:p>
        </w:tc>
        <w:tc>
          <w:tcPr>
            <w:tcW w:w="567" w:type="dxa"/>
            <w:tcBorders>
              <w:top w:val="single" w:color="000000" w:sz="4" w:space="0"/>
              <w:left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FF0000"/>
                <w:kern w:val="0"/>
                <w:sz w:val="18"/>
                <w:szCs w:val="18"/>
              </w:rPr>
            </w:pPr>
          </w:p>
        </w:tc>
      </w:tr>
      <w:tr>
        <w:tblPrEx>
          <w:tblCellMar>
            <w:top w:w="0" w:type="dxa"/>
            <w:left w:w="108" w:type="dxa"/>
            <w:bottom w:w="0" w:type="dxa"/>
            <w:right w:w="108" w:type="dxa"/>
          </w:tblCellMar>
        </w:tblPrEx>
        <w:trPr>
          <w:trHeight w:val="2869" w:hRule="atLeast"/>
        </w:trPr>
        <w:tc>
          <w:tcPr>
            <w:tcW w:w="44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eastAsia="宋体" w:cs="宋体"/>
                <w:color w:val="000000"/>
                <w:kern w:val="0"/>
                <w:sz w:val="18"/>
                <w:szCs w:val="18"/>
                <w:lang w:eastAsia="zh-CN"/>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10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人民调解</w:t>
            </w: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对有突出贡献的人民调解委员会和人民调解员按照国家规定给予表彰奖励</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1.</w:t>
            </w:r>
            <w:r>
              <w:rPr>
                <w:rFonts w:hint="eastAsia" w:ascii="宋体" w:hAnsi="宋体" w:cs="宋体"/>
                <w:color w:val="000000"/>
                <w:sz w:val="18"/>
                <w:szCs w:val="18"/>
              </w:rPr>
              <w:t>评选表彰通知；</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2.</w:t>
            </w:r>
            <w:r>
              <w:rPr>
                <w:rFonts w:hint="eastAsia" w:ascii="宋体" w:hAnsi="宋体" w:cs="宋体"/>
                <w:color w:val="000000"/>
                <w:sz w:val="18"/>
                <w:szCs w:val="18"/>
              </w:rPr>
              <w:t>先进集体和个人申报表（空白表）；</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拟表彰的先进集体先进个人名单；</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color w:val="000000"/>
                <w:sz w:val="18"/>
                <w:szCs w:val="18"/>
              </w:rPr>
              <w:t>4.</w:t>
            </w:r>
            <w:r>
              <w:rPr>
                <w:rFonts w:hint="eastAsia" w:ascii="宋体" w:hAnsi="宋体" w:cs="宋体"/>
                <w:color w:val="000000"/>
                <w:sz w:val="18"/>
                <w:szCs w:val="18"/>
              </w:rPr>
              <w:t>表彰决定</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《中华人民共和国人民调解法》</w:t>
            </w:r>
            <w:r>
              <w:rPr>
                <w:rFonts w:hint="eastAsia" w:ascii="宋体" w:hAnsi="宋体" w:cs="宋体"/>
                <w:bCs/>
                <w:sz w:val="18"/>
                <w:szCs w:val="18"/>
              </w:rPr>
              <w:t>《河南省人民调解员管理办法》《人民调解实施细则》</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仿宋" w:hAnsi="仿宋" w:eastAsia="仿宋" w:cs="仿宋"/>
                <w:color w:val="000000"/>
                <w:kern w:val="0"/>
                <w:sz w:val="18"/>
                <w:szCs w:val="18"/>
              </w:rPr>
            </w:pPr>
          </w:p>
        </w:tc>
      </w:tr>
      <w:tr>
        <w:tblPrEx>
          <w:tblCellMar>
            <w:top w:w="0" w:type="dxa"/>
            <w:left w:w="108" w:type="dxa"/>
            <w:bottom w:w="0" w:type="dxa"/>
            <w:right w:w="108" w:type="dxa"/>
          </w:tblCellMar>
        </w:tblPrEx>
        <w:trPr>
          <w:trHeight w:val="975" w:hRule="atLeast"/>
        </w:trPr>
        <w:tc>
          <w:tcPr>
            <w:tcW w:w="44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eastAsia="宋体" w:cs="宋体"/>
                <w:color w:val="000000"/>
                <w:kern w:val="0"/>
                <w:sz w:val="18"/>
                <w:szCs w:val="18"/>
                <w:lang w:eastAsia="zh-CN"/>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107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eastAsia="宋体" w:cs="宋体"/>
                <w:color w:val="000000"/>
                <w:sz w:val="18"/>
                <w:szCs w:val="18"/>
                <w:lang w:eastAsia="zh-CN"/>
              </w:rPr>
            </w:pPr>
            <w:r>
              <w:rPr>
                <w:rFonts w:hint="eastAsia" w:ascii="宋体" w:cs="宋体"/>
                <w:color w:val="000000"/>
                <w:sz w:val="18"/>
                <w:szCs w:val="18"/>
                <w:lang w:eastAsia="zh-CN"/>
              </w:rPr>
              <w:t>法律查询服务</w:t>
            </w: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法律服务机构、人员信息查询服务</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hint="eastAsia" w:ascii="宋体" w:hAnsi="宋体" w:cs="宋体"/>
                <w:color w:val="000000"/>
                <w:sz w:val="18"/>
                <w:szCs w:val="18"/>
              </w:rPr>
              <w:t>辖区内的律师、公证、基层法律服务</w:t>
            </w:r>
            <w:r>
              <w:rPr>
                <w:rFonts w:hint="eastAsia" w:ascii="宋体" w:hAnsi="宋体" w:cs="宋体"/>
                <w:color w:val="000000"/>
                <w:sz w:val="18"/>
                <w:szCs w:val="18"/>
                <w:lang w:eastAsia="zh-CN"/>
              </w:rPr>
              <w:t>、</w:t>
            </w:r>
            <w:r>
              <w:rPr>
                <w:rFonts w:hint="eastAsia" w:ascii="宋体" w:hAnsi="宋体" w:cs="宋体"/>
                <w:color w:val="000000"/>
                <w:sz w:val="18"/>
                <w:szCs w:val="18"/>
              </w:rPr>
              <w:t>人民调解等法律服务机构和人员有关基本信息、从业信息和信用信息等</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keepNext w:val="0"/>
              <w:keepLines w:val="0"/>
              <w:pageBreakBefore w:val="0"/>
              <w:widowControl/>
              <w:kinsoku/>
              <w:wordWrap/>
              <w:overflowPunct/>
              <w:topLinePunct w:val="0"/>
              <w:autoSpaceDE/>
              <w:autoSpaceDN/>
              <w:bidi w:val="0"/>
              <w:adjustRightInd/>
              <w:snapToGrid/>
              <w:spacing w:line="200" w:lineRule="exact"/>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CellMar>
            <w:top w:w="0" w:type="dxa"/>
            <w:left w:w="108" w:type="dxa"/>
            <w:bottom w:w="0" w:type="dxa"/>
            <w:right w:w="108" w:type="dxa"/>
          </w:tblCellMar>
        </w:tblPrEx>
        <w:trPr>
          <w:trHeight w:val="2160" w:hRule="atLeast"/>
        </w:trPr>
        <w:tc>
          <w:tcPr>
            <w:tcW w:w="44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eastAsia="宋体" w:cs="宋体"/>
                <w:color w:val="000000"/>
                <w:kern w:val="0"/>
                <w:sz w:val="18"/>
                <w:szCs w:val="18"/>
                <w:lang w:eastAsia="zh-CN"/>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10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hint="eastAsia" w:ascii="宋体" w:eastAsia="宋体" w:cs="宋体"/>
                <w:color w:val="000000"/>
                <w:sz w:val="18"/>
                <w:szCs w:val="18"/>
                <w:lang w:eastAsia="zh-CN"/>
              </w:rPr>
            </w:pPr>
            <w:r>
              <w:rPr>
                <w:rFonts w:hint="eastAsia" w:ascii="宋体" w:cs="宋体"/>
                <w:color w:val="000000"/>
                <w:sz w:val="18"/>
                <w:szCs w:val="18"/>
                <w:lang w:eastAsia="zh-CN"/>
              </w:rPr>
              <w:t>法律咨询服务</w:t>
            </w:r>
            <w:bookmarkStart w:id="0" w:name="_GoBack"/>
            <w:bookmarkEnd w:id="0"/>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公共法律服务实体平台、热线平台、网络平台咨询服务</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center" w:pos="4153"/>
                <w:tab w:val="right" w:pos="8306"/>
              </w:tabs>
              <w:snapToGrid w:val="0"/>
              <w:spacing w:line="360" w:lineRule="auto"/>
              <w:rPr>
                <w:rFonts w:ascii="宋体" w:cs="宋体"/>
                <w:color w:val="000000"/>
                <w:sz w:val="18"/>
                <w:szCs w:val="18"/>
              </w:rPr>
            </w:pPr>
            <w:r>
              <w:rPr>
                <w:rFonts w:hint="eastAsia" w:ascii="宋体" w:hAnsi="宋体" w:cs="宋体"/>
                <w:color w:val="000000"/>
                <w:sz w:val="18"/>
                <w:szCs w:val="18"/>
              </w:rPr>
              <w:t>公共法律服务实体、热线、网络平台法律咨询服务指南</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r>
        <w:tblPrEx>
          <w:tblCellMar>
            <w:top w:w="0" w:type="dxa"/>
            <w:left w:w="108" w:type="dxa"/>
            <w:bottom w:w="0" w:type="dxa"/>
            <w:right w:w="108" w:type="dxa"/>
          </w:tblCellMar>
        </w:tblPrEx>
        <w:trPr>
          <w:trHeight w:val="4100" w:hRule="atLeast"/>
        </w:trPr>
        <w:tc>
          <w:tcPr>
            <w:tcW w:w="440" w:type="dxa"/>
            <w:tcBorders>
              <w:top w:val="single" w:color="000000" w:sz="4" w:space="0"/>
              <w:left w:val="single" w:color="000000" w:sz="4" w:space="0"/>
              <w:bottom w:val="single" w:color="000000" w:sz="4" w:space="0"/>
              <w:right w:val="single" w:color="auto" w:sz="4" w:space="0"/>
            </w:tcBorders>
            <w:tcMar>
              <w:top w:w="15" w:type="dxa"/>
              <w:left w:w="15" w:type="dxa"/>
              <w:bottom w:w="15" w:type="dxa"/>
              <w:right w:w="15" w:type="dxa"/>
            </w:tcMar>
            <w:vAlign w:val="center"/>
          </w:tcPr>
          <w:p>
            <w:pPr>
              <w:widowControl/>
              <w:jc w:val="center"/>
              <w:textAlignment w:val="center"/>
              <w:rPr>
                <w:rFonts w:hint="eastAsia" w:ascii="宋体" w:eastAsia="宋体" w:cs="宋体"/>
                <w:color w:val="000000"/>
                <w:kern w:val="0"/>
                <w:sz w:val="18"/>
                <w:szCs w:val="18"/>
                <w:lang w:eastAsia="zh-CN"/>
              </w:rPr>
            </w:pPr>
            <w:r>
              <w:rPr>
                <w:rFonts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1074"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公共法律服务平台</w:t>
            </w:r>
          </w:p>
        </w:tc>
        <w:tc>
          <w:tcPr>
            <w:tcW w:w="981" w:type="dxa"/>
            <w:tcBorders>
              <w:top w:val="single" w:color="000000" w:sz="4" w:space="0"/>
              <w:left w:val="single" w:color="auto" w:sz="4" w:space="0"/>
              <w:bottom w:val="single" w:color="000000" w:sz="4" w:space="0"/>
              <w:right w:val="single" w:color="000000" w:sz="4" w:space="0"/>
            </w:tcBorders>
            <w:tcMar>
              <w:top w:w="15" w:type="dxa"/>
              <w:left w:w="15" w:type="dxa"/>
              <w:bottom w:w="15" w:type="dxa"/>
              <w:right w:w="15" w:type="dxa"/>
            </w:tcMar>
            <w:vAlign w:val="center"/>
          </w:tcPr>
          <w:p>
            <w:pPr>
              <w:widowControl/>
              <w:jc w:val="center"/>
              <w:textAlignment w:val="center"/>
              <w:rPr>
                <w:rFonts w:ascii="宋体" w:cs="宋体"/>
                <w:color w:val="000000"/>
                <w:sz w:val="18"/>
                <w:szCs w:val="18"/>
              </w:rPr>
            </w:pPr>
            <w:r>
              <w:rPr>
                <w:rFonts w:hint="eastAsia" w:ascii="宋体" w:hAnsi="宋体" w:cs="宋体"/>
                <w:color w:val="000000"/>
                <w:sz w:val="18"/>
                <w:szCs w:val="18"/>
              </w:rPr>
              <w:t>公共法律服务实体、热线、网络平台信息</w:t>
            </w:r>
          </w:p>
        </w:tc>
        <w:tc>
          <w:tcPr>
            <w:tcW w:w="100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b/>
                <w:color w:val="000000"/>
                <w:sz w:val="18"/>
                <w:szCs w:val="18"/>
              </w:rPr>
              <w:t>1</w:t>
            </w:r>
            <w:r>
              <w:rPr>
                <w:rFonts w:ascii="宋体" w:cs="宋体"/>
                <w:color w:val="000000"/>
                <w:sz w:val="18"/>
                <w:szCs w:val="18"/>
              </w:rPr>
              <w:t>.</w:t>
            </w:r>
            <w:r>
              <w:rPr>
                <w:rFonts w:hint="eastAsia" w:ascii="宋体" w:hAnsi="宋体" w:cs="宋体"/>
                <w:color w:val="000000"/>
                <w:sz w:val="18"/>
                <w:szCs w:val="18"/>
              </w:rPr>
              <w:t>公共法律服务平台建设相关规划；</w:t>
            </w:r>
            <w:r>
              <w:rPr>
                <w:rFonts w:ascii="宋体" w:hAnsi="宋体" w:cs="宋体"/>
                <w:b/>
                <w:color w:val="000000"/>
                <w:sz w:val="18"/>
                <w:szCs w:val="18"/>
              </w:rPr>
              <w:t>2</w:t>
            </w:r>
            <w:r>
              <w:rPr>
                <w:rFonts w:ascii="宋体" w:cs="宋体"/>
                <w:color w:val="000000"/>
                <w:sz w:val="18"/>
                <w:szCs w:val="18"/>
              </w:rPr>
              <w:t>.</w:t>
            </w:r>
            <w:r>
              <w:rPr>
                <w:rFonts w:hint="eastAsia" w:ascii="宋体" w:hAnsi="宋体" w:cs="宋体"/>
                <w:color w:val="000000"/>
                <w:sz w:val="18"/>
                <w:szCs w:val="18"/>
              </w:rPr>
              <w:t>公共法律服务中心、工作站具体地址；</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b/>
                <w:color w:val="000000"/>
                <w:sz w:val="18"/>
                <w:szCs w:val="18"/>
              </w:rPr>
              <w:t>3.</w:t>
            </w:r>
            <w:r>
              <w:rPr>
                <w:rFonts w:ascii="宋体" w:hAnsi="宋体" w:cs="宋体"/>
                <w:color w:val="000000"/>
                <w:sz w:val="18"/>
                <w:szCs w:val="18"/>
              </w:rPr>
              <w:t>12348</w:t>
            </w:r>
            <w:r>
              <w:rPr>
                <w:rFonts w:hint="eastAsia" w:ascii="宋体" w:hAnsi="宋体" w:cs="宋体"/>
                <w:color w:val="000000"/>
                <w:sz w:val="18"/>
                <w:szCs w:val="18"/>
              </w:rPr>
              <w:t>公共法律服务热线号码；</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b/>
                <w:color w:val="000000"/>
                <w:sz w:val="18"/>
                <w:szCs w:val="18"/>
              </w:rPr>
              <w:t>4</w:t>
            </w:r>
            <w:r>
              <w:rPr>
                <w:rFonts w:ascii="宋体" w:cs="宋体"/>
                <w:color w:val="000000"/>
                <w:sz w:val="18"/>
                <w:szCs w:val="18"/>
              </w:rPr>
              <w:t>.</w:t>
            </w:r>
            <w:r>
              <w:rPr>
                <w:rFonts w:hint="eastAsia" w:ascii="宋体" w:hAnsi="宋体" w:cs="宋体"/>
                <w:color w:val="000000"/>
                <w:sz w:val="18"/>
                <w:szCs w:val="18"/>
              </w:rPr>
              <w:t>中国法律服务网和各省级法律服务网网址；</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line="240" w:lineRule="exact"/>
              <w:textAlignment w:val="auto"/>
              <w:rPr>
                <w:rFonts w:ascii="宋体" w:cs="宋体"/>
                <w:color w:val="000000"/>
                <w:sz w:val="18"/>
                <w:szCs w:val="18"/>
              </w:rPr>
            </w:pPr>
            <w:r>
              <w:rPr>
                <w:rFonts w:ascii="宋体" w:hAnsi="宋体" w:cs="宋体"/>
                <w:b/>
                <w:color w:val="000000"/>
                <w:sz w:val="18"/>
                <w:szCs w:val="18"/>
              </w:rPr>
              <w:t>5</w:t>
            </w:r>
            <w:r>
              <w:rPr>
                <w:rFonts w:ascii="宋体" w:cs="宋体"/>
                <w:color w:val="000000"/>
                <w:sz w:val="18"/>
                <w:szCs w:val="18"/>
              </w:rPr>
              <w:t>.</w:t>
            </w:r>
            <w:r>
              <w:rPr>
                <w:rFonts w:hint="eastAsia" w:ascii="宋体" w:hAnsi="宋体" w:cs="宋体"/>
                <w:color w:val="000000"/>
                <w:sz w:val="18"/>
                <w:szCs w:val="18"/>
              </w:rPr>
              <w:t>三大平台提供的公共法律服务事项清单及服务指南</w:t>
            </w:r>
          </w:p>
        </w:tc>
        <w:tc>
          <w:tcPr>
            <w:tcW w:w="201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宋体" w:hAnsi="宋体" w:cs="宋体"/>
                <w:color w:val="000000"/>
                <w:sz w:val="18"/>
                <w:szCs w:val="18"/>
              </w:rPr>
              <w:t>《政府信息公开条例》</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自制作或获取该信息之日起</w:t>
            </w:r>
            <w:r>
              <w:rPr>
                <w:rFonts w:ascii="宋体" w:hAnsi="宋体" w:cs="宋体"/>
                <w:color w:val="000000"/>
                <w:kern w:val="0"/>
                <w:sz w:val="18"/>
                <w:szCs w:val="18"/>
              </w:rPr>
              <w:t>20</w:t>
            </w:r>
            <w:r>
              <w:rPr>
                <w:rFonts w:hint="eastAsia" w:ascii="宋体" w:hAnsi="宋体" w:cs="宋体"/>
                <w:color w:val="000000"/>
                <w:kern w:val="0"/>
                <w:sz w:val="18"/>
                <w:szCs w:val="18"/>
              </w:rPr>
              <w:t>个工作日内公开</w:t>
            </w:r>
          </w:p>
        </w:tc>
        <w:tc>
          <w:tcPr>
            <w:tcW w:w="92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kern w:val="0"/>
                <w:sz w:val="18"/>
                <w:szCs w:val="18"/>
              </w:rPr>
            </w:pPr>
            <w:r>
              <w:rPr>
                <w:rFonts w:hint="eastAsia" w:ascii="宋体" w:hAnsi="宋体" w:cs="宋体"/>
                <w:color w:val="000000"/>
                <w:kern w:val="0"/>
                <w:sz w:val="18"/>
                <w:szCs w:val="18"/>
              </w:rPr>
              <w:t>司法行政部门、公共法律服务中心、公共法律服务工作站</w:t>
            </w:r>
          </w:p>
        </w:tc>
        <w:tc>
          <w:tcPr>
            <w:tcW w:w="269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left"/>
              <w:textAlignment w:val="center"/>
              <w:rPr>
                <w:rFonts w:ascii="仿宋" w:hAnsi="仿宋" w:eastAsia="仿宋" w:cs="仿宋"/>
                <w:color w:val="000000"/>
                <w:sz w:val="18"/>
                <w:szCs w:val="18"/>
                <w:u w:val="single"/>
              </w:rPr>
            </w:pPr>
            <w:r>
              <w:rPr>
                <w:rFonts w:hint="eastAsia" w:ascii="仿宋" w:hAnsi="仿宋" w:eastAsia="仿宋" w:cs="仿宋"/>
                <w:color w:val="000000"/>
                <w:sz w:val="18"/>
                <w:szCs w:val="18"/>
              </w:rPr>
              <w:t>■政府网站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■政府公报</w:t>
            </w:r>
            <w:r>
              <w:rPr>
                <w:rFonts w:ascii="仿宋" w:hAnsi="仿宋" w:eastAsia="仿宋" w:cs="仿宋"/>
                <w:color w:val="000000"/>
                <w:sz w:val="18"/>
                <w:szCs w:val="18"/>
              </w:rPr>
              <w:t xml:space="preserve">    </w:t>
            </w:r>
            <w:r>
              <w:rPr>
                <w:rFonts w:hint="eastAsia" w:ascii="仿宋" w:hAnsi="仿宋" w:eastAsia="仿宋" w:cs="仿宋"/>
                <w:color w:val="000000"/>
                <w:sz w:val="18"/>
                <w:szCs w:val="18"/>
              </w:rPr>
              <w:t>■两微一端</w:t>
            </w:r>
            <w:r>
              <w:rPr>
                <w:rFonts w:ascii="仿宋" w:hAnsi="仿宋" w:eastAsia="仿宋" w:cs="仿宋"/>
                <w:color w:val="000000"/>
                <w:sz w:val="18"/>
                <w:szCs w:val="18"/>
              </w:rPr>
              <w:t xml:space="preserve">    </w:t>
            </w:r>
            <w:r>
              <w:rPr>
                <w:rFonts w:hint="eastAsia" w:ascii="仿宋" w:hAnsi="仿宋" w:eastAsia="仿宋" w:cs="仿宋"/>
                <w:color w:val="000000"/>
                <w:sz w:val="18"/>
                <w:szCs w:val="18"/>
              </w:rPr>
              <w:t>■发布会</w:t>
            </w:r>
            <w:r>
              <w:rPr>
                <w:rFonts w:ascii="仿宋" w:hAnsi="仿宋" w:eastAsia="仿宋" w:cs="仿宋"/>
                <w:color w:val="000000"/>
                <w:sz w:val="18"/>
                <w:szCs w:val="18"/>
              </w:rPr>
              <w:t>/</w:t>
            </w:r>
            <w:r>
              <w:rPr>
                <w:rFonts w:hint="eastAsia" w:ascii="仿宋" w:hAnsi="仿宋" w:eastAsia="仿宋" w:cs="仿宋"/>
                <w:color w:val="000000"/>
                <w:sz w:val="18"/>
                <w:szCs w:val="18"/>
              </w:rPr>
              <w:t>听证会</w:t>
            </w:r>
            <w:r>
              <w:rPr>
                <w:rFonts w:ascii="仿宋" w:hAnsi="仿宋" w:eastAsia="仿宋" w:cs="仿宋"/>
                <w:color w:val="000000"/>
                <w:sz w:val="18"/>
                <w:szCs w:val="18"/>
              </w:rPr>
              <w:t xml:space="preserve"> </w:t>
            </w:r>
            <w:r>
              <w:rPr>
                <w:rFonts w:hint="eastAsia" w:ascii="仿宋" w:hAnsi="仿宋" w:eastAsia="仿宋" w:cs="仿宋"/>
                <w:color w:val="000000"/>
                <w:sz w:val="18"/>
                <w:szCs w:val="18"/>
              </w:rPr>
              <w:t>■广播电视</w:t>
            </w:r>
            <w:r>
              <w:rPr>
                <w:rFonts w:ascii="仿宋" w:hAnsi="仿宋" w:eastAsia="仿宋" w:cs="仿宋"/>
                <w:color w:val="000000"/>
                <w:sz w:val="18"/>
                <w:szCs w:val="18"/>
              </w:rPr>
              <w:t xml:space="preserve">    </w:t>
            </w:r>
            <w:r>
              <w:rPr>
                <w:rFonts w:hint="eastAsia" w:ascii="仿宋" w:hAnsi="仿宋" w:eastAsia="仿宋" w:cs="仿宋"/>
                <w:color w:val="000000"/>
                <w:sz w:val="18"/>
                <w:szCs w:val="18"/>
              </w:rPr>
              <w:t>□纸质媒体</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■公开查阅点</w:t>
            </w:r>
            <w:r>
              <w:rPr>
                <w:rFonts w:ascii="仿宋" w:hAnsi="仿宋" w:eastAsia="仿宋" w:cs="仿宋"/>
                <w:color w:val="000000"/>
                <w:sz w:val="18"/>
                <w:szCs w:val="18"/>
              </w:rPr>
              <w:t xml:space="preserve">  </w:t>
            </w:r>
            <w:r>
              <w:rPr>
                <w:rFonts w:hint="eastAsia" w:ascii="仿宋" w:hAnsi="仿宋" w:eastAsia="仿宋" w:cs="仿宋"/>
                <w:color w:val="000000"/>
                <w:sz w:val="18"/>
                <w:szCs w:val="18"/>
              </w:rPr>
              <w:t>□政务服务中心</w:t>
            </w:r>
            <w:r>
              <w:rPr>
                <w:rFonts w:ascii="仿宋" w:hAnsi="仿宋" w:eastAsia="仿宋" w:cs="仿宋"/>
                <w:color w:val="000000"/>
                <w:sz w:val="18"/>
                <w:szCs w:val="18"/>
              </w:rPr>
              <w:t xml:space="preserve">  </w:t>
            </w:r>
            <w:r>
              <w:rPr>
                <w:rFonts w:hint="eastAsia" w:ascii="仿宋" w:hAnsi="仿宋" w:eastAsia="仿宋" w:cs="仿宋"/>
                <w:color w:val="000000"/>
                <w:sz w:val="18"/>
                <w:szCs w:val="18"/>
              </w:rPr>
              <w:t>■便民服务站</w:t>
            </w:r>
            <w:r>
              <w:rPr>
                <w:rFonts w:ascii="仿宋" w:hAnsi="仿宋" w:eastAsia="仿宋" w:cs="仿宋"/>
                <w:color w:val="000000"/>
                <w:sz w:val="18"/>
                <w:szCs w:val="18"/>
              </w:rPr>
              <w:t xml:space="preserve">  </w:t>
            </w:r>
            <w:r>
              <w:rPr>
                <w:rFonts w:hint="eastAsia" w:ascii="仿宋" w:hAnsi="仿宋" w:eastAsia="仿宋" w:cs="仿宋"/>
                <w:color w:val="000000"/>
                <w:sz w:val="18"/>
                <w:szCs w:val="18"/>
              </w:rPr>
              <w:t>□入户</w:t>
            </w:r>
            <w:r>
              <w:rPr>
                <w:rFonts w:ascii="仿宋" w:hAnsi="仿宋" w:eastAsia="仿宋" w:cs="仿宋"/>
                <w:color w:val="000000"/>
                <w:sz w:val="18"/>
                <w:szCs w:val="18"/>
              </w:rPr>
              <w:t>/</w:t>
            </w:r>
            <w:r>
              <w:rPr>
                <w:rFonts w:hint="eastAsia" w:ascii="仿宋" w:hAnsi="仿宋" w:eastAsia="仿宋" w:cs="仿宋"/>
                <w:color w:val="000000"/>
                <w:sz w:val="18"/>
                <w:szCs w:val="18"/>
              </w:rPr>
              <w:t>现场</w:t>
            </w:r>
            <w:r>
              <w:rPr>
                <w:rFonts w:ascii="仿宋" w:hAnsi="仿宋" w:eastAsia="仿宋" w:cs="仿宋"/>
                <w:color w:val="000000"/>
                <w:sz w:val="18"/>
                <w:szCs w:val="18"/>
              </w:rPr>
              <w:t xml:space="preserve">     </w:t>
            </w:r>
            <w:r>
              <w:rPr>
                <w:rFonts w:hint="eastAsia" w:ascii="仿宋" w:hAnsi="仿宋" w:eastAsia="仿宋" w:cs="仿宋"/>
                <w:color w:val="000000"/>
                <w:sz w:val="18"/>
                <w:szCs w:val="18"/>
              </w:rPr>
              <w:t>■社区</w:t>
            </w:r>
            <w:r>
              <w:rPr>
                <w:rFonts w:ascii="仿宋" w:hAnsi="仿宋" w:eastAsia="仿宋" w:cs="仿宋"/>
                <w:color w:val="000000"/>
                <w:sz w:val="18"/>
                <w:szCs w:val="18"/>
              </w:rPr>
              <w:t>/</w:t>
            </w:r>
            <w:r>
              <w:rPr>
                <w:rFonts w:hint="eastAsia" w:ascii="仿宋" w:hAnsi="仿宋" w:eastAsia="仿宋" w:cs="仿宋"/>
                <w:color w:val="000000"/>
                <w:sz w:val="18"/>
                <w:szCs w:val="18"/>
              </w:rPr>
              <w:t>企事业单位</w:t>
            </w:r>
            <w:r>
              <w:rPr>
                <w:rFonts w:ascii="仿宋" w:hAnsi="仿宋" w:eastAsia="仿宋" w:cs="仿宋"/>
                <w:color w:val="000000"/>
                <w:sz w:val="18"/>
                <w:szCs w:val="18"/>
              </w:rPr>
              <w:t>/</w:t>
            </w:r>
            <w:r>
              <w:rPr>
                <w:rFonts w:hint="eastAsia" w:ascii="仿宋" w:hAnsi="仿宋" w:eastAsia="仿宋" w:cs="仿宋"/>
                <w:color w:val="000000"/>
                <w:sz w:val="18"/>
                <w:szCs w:val="18"/>
              </w:rPr>
              <w:t>村公示栏（电子屏）</w:t>
            </w:r>
            <w:r>
              <w:rPr>
                <w:rFonts w:ascii="仿宋" w:hAnsi="仿宋" w:eastAsia="仿宋" w:cs="仿宋"/>
                <w:color w:val="000000"/>
                <w:sz w:val="18"/>
                <w:szCs w:val="18"/>
              </w:rPr>
              <w:t xml:space="preserve">                        </w:t>
            </w:r>
            <w:r>
              <w:rPr>
                <w:rFonts w:hint="eastAsia" w:ascii="仿宋" w:hAnsi="仿宋" w:eastAsia="仿宋" w:cs="仿宋"/>
                <w:color w:val="000000"/>
                <w:sz w:val="18"/>
                <w:szCs w:val="18"/>
              </w:rPr>
              <w:t>□精准推送</w:t>
            </w:r>
            <w:r>
              <w:rPr>
                <w:rFonts w:ascii="仿宋" w:hAnsi="仿宋" w:eastAsia="仿宋" w:cs="仿宋"/>
                <w:color w:val="000000"/>
                <w:sz w:val="18"/>
                <w:szCs w:val="18"/>
              </w:rPr>
              <w:t xml:space="preserve">    </w:t>
            </w:r>
            <w:r>
              <w:rPr>
                <w:rFonts w:hint="eastAsia" w:ascii="仿宋" w:hAnsi="仿宋" w:eastAsia="仿宋" w:cs="宋体"/>
                <w:color w:val="000000"/>
                <w:sz w:val="18"/>
                <w:szCs w:val="18"/>
              </w:rPr>
              <w:t>■</w:t>
            </w:r>
            <w:r>
              <w:rPr>
                <w:rFonts w:hint="eastAsia" w:ascii="仿宋" w:hAnsi="仿宋" w:eastAsia="仿宋" w:cs="仿宋"/>
                <w:color w:val="000000"/>
                <w:sz w:val="18"/>
                <w:szCs w:val="18"/>
              </w:rPr>
              <w:t>其他</w:t>
            </w:r>
            <w:r>
              <w:rPr>
                <w:rFonts w:hint="eastAsia" w:ascii="仿宋" w:hAnsi="仿宋" w:eastAsia="仿宋" w:cs="仿宋"/>
                <w:color w:val="000000"/>
                <w:sz w:val="18"/>
                <w:szCs w:val="18"/>
                <w:u w:val="single"/>
              </w:rPr>
              <w:t>法律服务网</w:t>
            </w:r>
          </w:p>
          <w:p>
            <w:pPr>
              <w:widowControl/>
              <w:jc w:val="left"/>
              <w:textAlignment w:val="center"/>
              <w:rPr>
                <w:rFonts w:ascii="仿宋" w:hAnsi="仿宋" w:eastAsia="仿宋" w:cs="仿宋"/>
                <w:color w:val="000000"/>
                <w:sz w:val="18"/>
                <w:szCs w:val="18"/>
              </w:rPr>
            </w:pPr>
            <w:r>
              <w:rPr>
                <w:rFonts w:hint="eastAsia" w:ascii="楷体" w:hAnsi="楷体" w:eastAsia="楷体" w:cs="仿宋"/>
                <w:color w:val="000000"/>
                <w:sz w:val="18"/>
                <w:szCs w:val="18"/>
              </w:rPr>
              <w:t>注：有关公开信息可推送或归集至本省级法律服务网。</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c>
          <w:tcPr>
            <w:tcW w:w="560" w:type="dxa"/>
            <w:gridSpan w:val="2"/>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jc w:val="center"/>
              <w:rPr>
                <w:rFonts w:ascii="宋体" w:cs="宋体"/>
                <w:color w:val="000000"/>
                <w:sz w:val="18"/>
                <w:szCs w:val="18"/>
              </w:rPr>
            </w:pPr>
            <w:r>
              <w:rPr>
                <w:rFonts w:hint="eastAsia" w:ascii="仿宋" w:hAnsi="仿宋" w:eastAsia="仿宋" w:cs="仿宋"/>
                <w:color w:val="000000"/>
                <w:kern w:val="0"/>
                <w:sz w:val="18"/>
                <w:szCs w:val="18"/>
              </w:rPr>
              <w:t>√</w:t>
            </w:r>
          </w:p>
        </w:tc>
      </w:tr>
    </w:tbl>
    <w:p>
      <w:pPr>
        <w:rPr>
          <w:b/>
          <w:sz w:val="18"/>
          <w:szCs w:val="18"/>
        </w:rPr>
      </w:pPr>
    </w:p>
    <w:p>
      <w:pPr>
        <w:rPr>
          <w:b/>
          <w:sz w:val="18"/>
          <w:szCs w:val="18"/>
        </w:rPr>
      </w:pPr>
    </w:p>
    <w:sectPr>
      <w:footerReference r:id="rId3" w:type="default"/>
      <w:pgSz w:w="16838" w:h="11906" w:orient="landscape"/>
      <w:pgMar w:top="1587" w:right="1440" w:bottom="1587"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6979"/>
        <w:tab w:val="clear" w:pos="4153"/>
        <w:tab w:val="clear" w:pos="8306"/>
      </w:tabs>
    </w:pPr>
    <w:r>
      <w:tab/>
    </w:r>
    <w:r>
      <w:fldChar w:fldCharType="begin"/>
    </w:r>
    <w:r>
      <w:instrText xml:space="preserve"> PAGE   \* MERGEFORMAT </w:instrText>
    </w:r>
    <w:r>
      <w:fldChar w:fldCharType="separate"/>
    </w:r>
    <w:r>
      <w:rPr>
        <w:lang w:val="zh-CN"/>
      </w:rPr>
      <w:t>8</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D14"/>
    <w:rsid w:val="00135971"/>
    <w:rsid w:val="002D17E8"/>
    <w:rsid w:val="00323E74"/>
    <w:rsid w:val="00432247"/>
    <w:rsid w:val="00434D14"/>
    <w:rsid w:val="00493DA3"/>
    <w:rsid w:val="007D0D93"/>
    <w:rsid w:val="007E4B29"/>
    <w:rsid w:val="00950313"/>
    <w:rsid w:val="00A017B3"/>
    <w:rsid w:val="00AF43B5"/>
    <w:rsid w:val="00B421EF"/>
    <w:rsid w:val="00BE663A"/>
    <w:rsid w:val="00C22194"/>
    <w:rsid w:val="00C2648F"/>
    <w:rsid w:val="00C42505"/>
    <w:rsid w:val="00C84F4B"/>
    <w:rsid w:val="00C96030"/>
    <w:rsid w:val="00CC612C"/>
    <w:rsid w:val="00CF725C"/>
    <w:rsid w:val="00E4721D"/>
    <w:rsid w:val="00F618F5"/>
    <w:rsid w:val="03EB3E09"/>
    <w:rsid w:val="33C51098"/>
    <w:rsid w:val="4A093D70"/>
    <w:rsid w:val="4E1D581C"/>
    <w:rsid w:val="515C4EDA"/>
    <w:rsid w:val="59433F6B"/>
    <w:rsid w:val="5DB73C07"/>
    <w:rsid w:val="6A8F7CBA"/>
    <w:rsid w:val="6C926E9D"/>
    <w:rsid w:val="773A19FA"/>
    <w:rsid w:val="79CD7F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locked/>
    <w:uiPriority w:val="99"/>
    <w:rPr>
      <w:rFonts w:ascii="Calibri" w:hAnsi="Calibri" w:eastAsia="宋体" w:cs="Times New Roman"/>
      <w:sz w:val="18"/>
      <w:szCs w:val="18"/>
    </w:rPr>
  </w:style>
  <w:style w:type="character" w:customStyle="1" w:styleId="7">
    <w:name w:val="Footer Char"/>
    <w:basedOn w:val="5"/>
    <w:link w:val="2"/>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824</Words>
  <Characters>4699</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2020-06-17T10:00:00Z</dcterms:created>
  <dc:creator>Administrator</dc:creator>
  <cp:lastModifiedBy>~  辰心 ~</cp:lastModifiedBy>
  <cp:lastPrinted>2020-08-07T05:35:58Z</cp:lastPrinted>
  <dcterms:modified xsi:type="dcterms:W3CDTF">2020-08-07T05:38:49Z</dcterms:modified>
  <dc:title>濮阳市公共法律服务领域基层政务公开标准目录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