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065"/>
        <w:gridCol w:w="1080"/>
        <w:gridCol w:w="1260"/>
        <w:gridCol w:w="1185"/>
        <w:gridCol w:w="1020"/>
        <w:gridCol w:w="1290"/>
        <w:gridCol w:w="1485"/>
        <w:gridCol w:w="3120"/>
        <w:gridCol w:w="1485"/>
        <w:gridCol w:w="1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65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附件4: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65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标宋" w:hAnsi="文星标宋" w:eastAsia="文星标宋"/>
                <w:color w:val="000000"/>
                <w:kern w:val="0"/>
                <w:sz w:val="44"/>
              </w:rPr>
              <w:t>濮阳县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44"/>
                <w:u w:val="single"/>
              </w:rPr>
              <w:t xml:space="preserve">  </w:t>
            </w:r>
            <w:r>
              <w:rPr>
                <w:rFonts w:hint="eastAsia" w:ascii="文星标宋" w:hAnsi="文星标宋" w:eastAsia="文星标宋"/>
                <w:color w:val="000000"/>
                <w:kern w:val="0"/>
                <w:sz w:val="44"/>
              </w:rPr>
              <w:t>年度县域商业体系建设项目安排意见清单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乡镇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人民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政府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承办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企业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上一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年度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年销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售额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（万元）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项目投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资总额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（不含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土建）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万元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建成后营业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面积（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项目物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业性质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（自有、租赁）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项目具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体地址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（以营业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执照为准）</w:t>
            </w: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主要建设内容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（仓储设施、室内装修、消防、监控、打印、扫描枪、称重收银、快递收发、其它等）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项目建设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起止日期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支持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额度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6F407280"/>
    <w:rsid w:val="6F4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2023-02-10T01:02:00Z</dcterms:created>
  <dc:creator>郁闷的皮皮3</dc:creator>
  <cp:lastModifiedBy>郁闷的皮皮3</cp:lastModifiedBy>
  <dcterms:modified xsi:type="dcterms:W3CDTF">2023-02-10T01:03:08Z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BBA69E640FF84D398FC67B1BABB012DE</vt:lpwstr>
  </property>
</Properties>
</file>