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bookmarkStart w:id="0" w:name="_GoBack"/>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受县人民政府委托，现将2019年国民经济和社会发展计划执行情况与2020年计划（草案）提请大会审议，并请各位政协委员和其他列席同志提出意见。</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一、2019年国民经济和社会发展计划执行情况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2019年，面对日益复杂的国内外风险挑战和经济下行压力，全县上下在县委的坚强领导下，对标对表高质量发展要求，积极应对</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稳中有变</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发展形势，以经济高质量发展的实际成效引导社会预期、提振发展信心，全县生产总值完成263.9亿元，增长5.1%；社会消费品零售总额完成193.5亿元，增长10.1%；一般公共预算收入完成15.06亿元，增长15.1%；税收收入11.6亿元，税收比重达到77.2%。经济社会发展呈现以下特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lang w:val="en-US" w:eastAsia="zh-CN"/>
          <w14:textFill>
            <w14:solidFill>
              <w14:schemeClr w14:val="tx1"/>
            </w14:solidFill>
          </w14:textFill>
        </w:rPr>
      </w:pPr>
      <w:r>
        <w:rPr>
          <w:rFonts w:hint="default" w:ascii="Times New Roman" w:hAnsi="Times New Roman" w:eastAsia="楷体" w:cs="Times New Roman"/>
          <w:b w:val="0"/>
          <w:bCs w:val="0"/>
          <w:color w:val="000000" w:themeColor="text1"/>
          <w:kern w:val="2"/>
          <w:sz w:val="32"/>
          <w:szCs w:val="32"/>
          <w:lang w:val="en-US" w:eastAsia="zh-CN" w:bidi="ar-SA"/>
          <w14:textFill>
            <w14:solidFill>
              <w14:schemeClr w14:val="tx1"/>
            </w14:solidFill>
          </w14:textFill>
        </w:rPr>
        <w:t>（一）产业转型稳步推进。</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以</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粮头食尾</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农头工尾</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为抓手，着力推进农业供给侧改革，第一产业增加值完成50.1亿元，增长3.5%；新增高标准农田10.8万亩，粮食产量100.9万吨，再创新高；新型农业经营主体达到512家，农业产业化步伐加快。以制造业高质量发展作为县域经济高质量发展主攻方向，形成新的竞争优势，第二产业增加值完成64.3亿元，增长0.7%，其中规模以上工业增加值增长3.3%；高新技术产业、战略新兴产业增加值占规上工业增加值比重均居全市第1位；亿丰环保新材料、海林特种设备等7个省市重点工业项目建成投产，华能风电、通用电气等项目加速推进，制造业支撑能力不断强化。以提升服务业结构层级为重点，</w:t>
      </w:r>
      <w:r>
        <w:rPr>
          <w:rFonts w:hint="default" w:ascii="Times New Roman" w:hAnsi="Times New Roman" w:eastAsia="仿宋" w:cs="Times New Roman"/>
          <w:b w:val="0"/>
          <w:bCs w:val="0"/>
          <w:color w:val="000000" w:themeColor="text1"/>
          <w:kern w:val="2"/>
          <w:sz w:val="32"/>
          <w:szCs w:val="32"/>
          <w:highlight w:val="none"/>
          <w:lang w:val="en-US" w:eastAsia="zh-CN" w:bidi="ar-SA"/>
          <w14:textFill>
            <w14:solidFill>
              <w14:schemeClr w14:val="tx1"/>
            </w14:solidFill>
          </w14:textFill>
        </w:rPr>
        <w:t>持续扩大新兴消费市场，</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第三产业增加值完成149.5亿元，增长8.1%；建成古十字街提升、五代城墙保护等项目，濮水小镇获评AAA级旅游景区，黄河民俗博物馆等4个景区被评为AA级旅游景区，全县旅游人数达到420万人次；建成西辛庄电商产业园，新建80家电商服务网点，电商覆盖率80%以上，服务业整体供给能力不断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kern w:val="2"/>
          <w:sz w:val="32"/>
          <w:szCs w:val="32"/>
          <w:lang w:val="en-US" w:eastAsia="zh-CN" w:bidi="ar-SA"/>
          <w14:textFill>
            <w14:solidFill>
              <w14:schemeClr w14:val="tx1"/>
            </w14:solidFill>
          </w14:textFill>
        </w:rPr>
        <w:t>（二）城乡融合持续加快。</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城市面貌日益精致，2017年、2018年安置房主体完工率分别达到85%、13.5%，2019年龙苑片区等4个项目全部开工建设。国庆路等3个公共停车场建成投用，富民路西延、工业路北延等16条道路建成通车，新建奥林匹克公园等</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5</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处公园绿地，新增公厕20个，中心城区功能日益完善。城南新区龙桥、滨河路等</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“五路三桥”</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建成通车，中医院、新高中、城南新区污水处理厂、水生态治理等项目加快推进，县城框架持续拉大。乡村振兴全面推进，农村集体经济改革基本完成，</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发放</w:t>
      </w:r>
      <w:r>
        <w:rPr>
          <w:rFonts w:hint="eastAsia"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两权</w:t>
      </w:r>
      <w:r>
        <w:rPr>
          <w:rFonts w:hint="eastAsia"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抵押贷款319笔1.4亿元</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；建成投用</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乡（镇）</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垃圾转运站19个，生活垃圾有效治理覆盖率达到100%；改造无害化厕所</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3.5</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万户，创建省市级</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四美</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乡村3</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9</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个；G106至</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S209等</w:t>
      </w:r>
      <w:r>
        <w:rPr>
          <w:rFonts w:hint="eastAsia"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9</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条农村道路顺利通车，建成省级文明示范路54.2公里</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，城乡基础设施差距逐步缩小。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kern w:val="2"/>
          <w:sz w:val="32"/>
          <w:szCs w:val="32"/>
          <w:lang w:val="en-US" w:eastAsia="zh-CN" w:bidi="ar-SA"/>
          <w14:textFill>
            <w14:solidFill>
              <w14:schemeClr w14:val="tx1"/>
            </w14:solidFill>
          </w14:textFill>
        </w:rPr>
        <w:t>（三）三大攻坚精准发力。</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坚决打好打赢脱贫攻坚战，坚持</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四个不摘</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五个不减</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的脱贫政策，</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顺利脱贫1981户5875人</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实现5个未脱贫村出列，贫困发生率降至0.44%；进一步完善教育、医疗、住房等后续巩固措施，确保脱贫不返贫；滩区迁建二批试点完成搬迁，三年规划王称堌安置区在全省率先搬迁入住。坚决打好打赢污染防治攻坚战，清理11家</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散乱污</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企业，强化32家高耗能企业管理，完成</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双替代</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11.4万户设备安装，金堤河断面水质优于Ⅴ类标准，土壤防治通过省级考核；城区新增绿地面积24公顷，绿地覆盖率达到36.76%。坚决防范化解重大风险，加强政银企服务对接，全县金融机构存贷比提升12.5个百分点；积极化解政府隐性债务，持续开展非法金融活动专项整治，金融环境更趋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kern w:val="2"/>
          <w:sz w:val="32"/>
          <w:szCs w:val="32"/>
          <w:lang w:val="en-US" w:eastAsia="zh-CN" w:bidi="ar-SA"/>
          <w14:textFill>
            <w14:solidFill>
              <w14:schemeClr w14:val="tx1"/>
            </w14:solidFill>
          </w14:textFill>
        </w:rPr>
        <w:t>（四）改革开放全面深化。</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县行政服务大厅进驻率、分类综合受理率达到100%，网上可办率居全市前列，营商环境进一步优化改善。坚决落实</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减税降费</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政策红利，全年减税降费</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4.6</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亿元，企业获得感不断增强。全县新登记市场主体8144户，增长38.8%，新登记企业1889户，增长31.2%，市场活跃度持续提升。出台投资项目事中事后监管细则，在全市率先实施</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容缺办理</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多评合一</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等制度改革，</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放管服</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力度持续加大。围绕电子电气、新能源等主导产业强链、延链、补链，新签约通用电气、天顺风能等4</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5</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个亿元以上投资项目，实际利用境外资金增长20%，招商引资成果丰硕。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000000" w:themeColor="text1"/>
          <w:lang w:val="en-US" w:eastAsia="zh-CN"/>
          <w14:textFill>
            <w14:solidFill>
              <w14:schemeClr w14:val="tx1"/>
            </w14:solidFill>
          </w14:textFill>
        </w:rPr>
      </w:pPr>
      <w:r>
        <w:rPr>
          <w:rFonts w:hint="default" w:ascii="Times New Roman" w:hAnsi="Times New Roman" w:eastAsia="楷体" w:cs="Times New Roman"/>
          <w:b w:val="0"/>
          <w:bCs w:val="0"/>
          <w:color w:val="000000" w:themeColor="text1"/>
          <w:kern w:val="2"/>
          <w:sz w:val="32"/>
          <w:szCs w:val="32"/>
          <w:lang w:val="en-US" w:eastAsia="zh-CN" w:bidi="ar-SA"/>
          <w14:textFill>
            <w14:solidFill>
              <w14:schemeClr w14:val="tx1"/>
            </w14:solidFill>
          </w14:textFill>
        </w:rPr>
        <w:t>（五）社会民生和谐共享。</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居民人均可支配收入20296元，增长8.9%。其中，城镇居民人均可支配收入30289元，增长7.3%；农村居民人均可支配收入14576元，增长10.2%。县定十二项民生实事基本完成，新增城镇就业13529人，超市定目标105%；</w:t>
      </w:r>
      <w:r>
        <w:rPr>
          <w:rFonts w:hint="default" w:ascii="Times New Roman" w:hAnsi="Times New Roman" w:eastAsia="仿宋" w:cs="Times New Roman"/>
          <w:b w:val="0"/>
          <w:bCs w:val="0"/>
          <w:color w:val="000000" w:themeColor="text1"/>
          <w:kern w:val="2"/>
          <w:sz w:val="32"/>
          <w:szCs w:val="32"/>
          <w:rtl w:val="0"/>
          <w:lang w:val="en-US" w:eastAsia="zh-CN" w:bidi="ar-SA"/>
          <w14:textFill>
            <w14:solidFill>
              <w14:schemeClr w14:val="tx1"/>
            </w14:solidFill>
          </w14:textFill>
        </w:rPr>
        <w:t>九年义务教育巩固率达到100%，</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成功创建省级义务教育发展均衡县，与北师大合作办学，教育教学质量显著改善；县二院等5家医院升级为二级综合医院，新建60座村级标准化卫生室，医疗服务能力不断提升。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2019年，全县经济社会发展总体平稳，亮点纷呈，为实现</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十三五</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目标、全面建成小康社会打下了坚实基础，但是受产业转型阵痛期、脱贫攻坚与乡村振兴衔接期及全国第四次经济普查数据调整的影响，生产总值、规模以上工业增加值、固定资产投资等指标距离计划指标有一定差距。同时，我们也清醒认识到，当前县域经济高质量发展仍面临不平衡不充分问题，城乡融合发展水平亟需优化，产业转型升级水平尚待提升，基本公共服务水平有待强化，生态文明建设、社会治理还存在许多薄弱环节，新冠肺炎疫情带来更多的困难与挑战。对此，我们一定坚定发展信心，转危为机，努力实现县域经济高质量发展的新突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pPr>
      <w:r>
        <w:rPr>
          <w:rFonts w:hint="eastAsia"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t>专栏1：2019年民生实事完成情况</w:t>
      </w:r>
    </w:p>
    <w:tbl>
      <w:tblPr>
        <w:tblStyle w:val="7"/>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946"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2256723968" behindDoc="0" locked="0" layoutInCell="1" allowOverlap="1">
                      <wp:simplePos x="0" y="0"/>
                      <wp:positionH relativeFrom="column">
                        <wp:posOffset>394970</wp:posOffset>
                      </wp:positionH>
                      <wp:positionV relativeFrom="paragraph">
                        <wp:posOffset>109220</wp:posOffset>
                      </wp:positionV>
                      <wp:extent cx="125730" cy="161925"/>
                      <wp:effectExtent l="5715" t="7620" r="20955" b="20955"/>
                      <wp:wrapNone/>
                      <wp:docPr id="1" name="菱形 1"/>
                      <wp:cNvGraphicFramePr/>
                      <a:graphic xmlns:a="http://schemas.openxmlformats.org/drawingml/2006/main">
                        <a:graphicData uri="http://schemas.microsoft.com/office/word/2010/wordprocessingShape">
                          <wps:wsp>
                            <wps:cNvSpPr/>
                            <wps:spPr>
                              <a:xfrm>
                                <a:off x="1219835" y="863092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8.6pt;height:12.75pt;width:9.9pt;z-index:-2038243328;v-text-anchor:middle;mso-width-relative:page;mso-height-relative:page;" filled="f" stroked="t" coordsize="21600,21600" o:gfxdata="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GT/r11wAA&#10;AAcBAAAPAAAAAAAAAAEAIAAAACIAAABkcnMvZG93bnJldi54bWxQSwECFAAUAAAACACHTuJAZ8PY&#10;oFgCAACKBAAADgAAAAAAAAABACAAAAAmAQAAZHJzL2Uyb0RvYy54bWxQSwUGAAAAAAYABgBZAQAA&#10;8AU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积极促进就业。全县城镇新增就业13529人，失业人员再就业3685人，新增农村转移就业4327人，超目标完成市定任务。</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4261790720" behindDoc="0" locked="0" layoutInCell="1" allowOverlap="1">
                      <wp:simplePos x="0" y="0"/>
                      <wp:positionH relativeFrom="column">
                        <wp:posOffset>414020</wp:posOffset>
                      </wp:positionH>
                      <wp:positionV relativeFrom="paragraph">
                        <wp:posOffset>102870</wp:posOffset>
                      </wp:positionV>
                      <wp:extent cx="125730" cy="161925"/>
                      <wp:effectExtent l="5715" t="7620" r="20955" b="20955"/>
                      <wp:wrapNone/>
                      <wp:docPr id="3" name="菱形 3"/>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2.6pt;margin-top:8.1pt;height:12.75pt;width:9.9pt;z-index:-33176576;v-text-anchor:middle;mso-width-relative:page;mso-height-relative:page;" filled="f" stroked="t" coordsize="21600,21600" o:gfxdata="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SM8h3XAAAABwEAAA8AAAAA&#10;AAAAAQAgAAAAIgAAAGRycy9kb3ducmV2LnhtbFBLAQIUABQAAAAIAIdO4kD9BxLCTgIAAH4EAAAO&#10;AAAAAAAAAAEAIAAAACYBAABkcnMvZTJvRG9jLnhtbFBLBQYAAAAABgAGAFkBAADm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提高高龄老人医保报销比例，继续执行高龄津贴补助制度。医保报销实现即时结报，80岁以上老人高龄津贴补助覆盖率100%。</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971890176" behindDoc="0" locked="0" layoutInCell="1" allowOverlap="1">
                      <wp:simplePos x="0" y="0"/>
                      <wp:positionH relativeFrom="column">
                        <wp:posOffset>385445</wp:posOffset>
                      </wp:positionH>
                      <wp:positionV relativeFrom="paragraph">
                        <wp:posOffset>106045</wp:posOffset>
                      </wp:positionV>
                      <wp:extent cx="125730" cy="161925"/>
                      <wp:effectExtent l="5715" t="7620" r="20955" b="20955"/>
                      <wp:wrapNone/>
                      <wp:docPr id="4" name="菱形 4"/>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8.35pt;height:12.75pt;width:9.9pt;z-index:1971890176;v-text-anchor:middle;mso-width-relative:page;mso-height-relative:page;" filled="f" stroked="t" coordsize="21600,21600" o:gfxdata="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4PfwdYAAAAHAQAADwAAAAAA&#10;AAABACAAAAAiAAAAZHJzL2Rvd25yZXYueG1sUEsBAhQAFAAAAAgAh07iQCoXTJpOAgAAfgQAAA4A&#10;AAAAAAAAAQAgAAAAJQ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提高妇女儿童健康水平。完成宫颈癌筛查 15200人、乳腺癌筛查15273人，免费产前超声筛查率56.46%，产前血清学筛查率66.07%，新生儿两病筛查率99.60%，新生儿听力筛查率99.94%。</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3976956928" behindDoc="0" locked="0" layoutInCell="1" allowOverlap="1">
                      <wp:simplePos x="0" y="0"/>
                      <wp:positionH relativeFrom="column">
                        <wp:posOffset>375920</wp:posOffset>
                      </wp:positionH>
                      <wp:positionV relativeFrom="paragraph">
                        <wp:posOffset>131445</wp:posOffset>
                      </wp:positionV>
                      <wp:extent cx="125730" cy="161925"/>
                      <wp:effectExtent l="5715" t="7620" r="20955" b="20955"/>
                      <wp:wrapNone/>
                      <wp:docPr id="5" name="菱形 5"/>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9.6pt;margin-top:10.35pt;height:12.75pt;width:9.9pt;z-index:-318010368;v-text-anchor:middle;mso-width-relative:page;mso-height-relative:page;" filled="f" stroked="t" coordsize="21600,21600" o:gfxdata="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ShAFzXAAAABwEAAA8AAAAA&#10;AAAAAQAgAAAAIgAAAGRycy9kb3ducmV2LnhtbFBLAQIUABQAAAAIAIdO4kD2f7hLTgIAAH4EAAAO&#10;AAAAAAAAAAEAIAAAACYBAABkcnMvZTJvRG9jLnhtbFBLBQYAAAAABgAGAFkBAADm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实施残疾儿童康复救助计划。救助223名儿童，完成率108%。</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687056384" behindDoc="0" locked="0" layoutInCell="1" allowOverlap="1">
                      <wp:simplePos x="0" y="0"/>
                      <wp:positionH relativeFrom="column">
                        <wp:posOffset>375920</wp:posOffset>
                      </wp:positionH>
                      <wp:positionV relativeFrom="paragraph">
                        <wp:posOffset>115570</wp:posOffset>
                      </wp:positionV>
                      <wp:extent cx="125730" cy="161925"/>
                      <wp:effectExtent l="5715" t="7620" r="20955" b="20955"/>
                      <wp:wrapNone/>
                      <wp:docPr id="6" name="菱形 6"/>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9.6pt;margin-top:9.1pt;height:12.75pt;width:9.9pt;z-index:1687056384;v-text-anchor:middle;mso-width-relative:page;mso-height-relative:page;" filled="f" stroked="t" coordsize="21600,21600" o:gfxdata="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TbFJNgAAAAHAQAADwAAAAAA&#10;AAABACAAAAAiAAAAZHJzL2Rvd25yZXYueG1sUEsBAhQAFAAAAAgAh07iQNPA1eJMAgAAfgQAAA4A&#10;AAAAAAAAAQAgAAAAJw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改善农村人居环境。34639户无害化改厕全部完成，3</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9</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个</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四美</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乡村示范村提升有序推进，累计清理农村生活垃圾12万吨。</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3692123136" behindDoc="0" locked="0" layoutInCell="1" allowOverlap="1">
                      <wp:simplePos x="0" y="0"/>
                      <wp:positionH relativeFrom="column">
                        <wp:posOffset>385445</wp:posOffset>
                      </wp:positionH>
                      <wp:positionV relativeFrom="paragraph">
                        <wp:posOffset>128270</wp:posOffset>
                      </wp:positionV>
                      <wp:extent cx="125730" cy="161925"/>
                      <wp:effectExtent l="5715" t="7620" r="20955" b="20955"/>
                      <wp:wrapNone/>
                      <wp:docPr id="7" name="菱形 7"/>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10.1pt;height:12.75pt;width:9.9pt;z-index:-602844160;v-text-anchor:middle;mso-width-relative:page;mso-height-relative:page;" filled="f" stroked="t" coordsize="21600,21600" o:gfxdata="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CS0ytYAAAAHAQAA&#10;DwAAAAAAAAABACAAAAAiAAAAZHJzL2Rvd25yZXYueG1sUEsBAhQAFAAAAAgAh07iQAjOlDNUAgAA&#10;iQQAAA4AAAAAAAAAAQAgAAAAJQEAAGRycy9lMm9Eb2MueG1sUEsFBgAAAAAGAAYAWQEAAOsFAAAA&#10;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完善农村基础设施。17个</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乡（镇）</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污水处理厂进展顺利，县乡道路完成85.1公里，农村道路新改建335.4公里，</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67</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个行政村完成电网升级改造，新改建10千伏线路70.9千米、400伏线路111.2千米。</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402222592" behindDoc="0" locked="0" layoutInCell="1" allowOverlap="1">
                      <wp:simplePos x="0" y="0"/>
                      <wp:positionH relativeFrom="column">
                        <wp:posOffset>385445</wp:posOffset>
                      </wp:positionH>
                      <wp:positionV relativeFrom="paragraph">
                        <wp:posOffset>125095</wp:posOffset>
                      </wp:positionV>
                      <wp:extent cx="125730" cy="161925"/>
                      <wp:effectExtent l="5715" t="7620" r="20955" b="20955"/>
                      <wp:wrapNone/>
                      <wp:docPr id="8" name="菱形 8"/>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9.85pt;height:12.75pt;width:9.9pt;z-index:1402222592;v-text-anchor:middle;mso-width-relative:page;mso-height-relative:page;" filled="f" stroked="t" coordsize="21600,21600" o:gfxdata="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u3iwzXAAAABwEAAA8AAAAA&#10;AAAAAQAgAAAAIgAAAGRycy9kb3ducmV2LnhtbFBLAQIUABQAAAAIAIdO4kB94WlSTgIAAH4EAAAO&#10;AAAAAAAAAAEAIAAAACYBAABkcnMvZTJvRG9jLnhtbFBLBQYAAAAABgAGAFkBAADm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加快教育基础设施建设。自然水岸等4所幼儿园交付使用，五小、六小、八小投入使用，新高中初中部基本建成，七小、城西中学、职教中心新校区加快建设，建成10所农村标准化寄宿制学校。</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3407289344" behindDoc="0" locked="0" layoutInCell="1" allowOverlap="1">
                      <wp:simplePos x="0" y="0"/>
                      <wp:positionH relativeFrom="column">
                        <wp:posOffset>394970</wp:posOffset>
                      </wp:positionH>
                      <wp:positionV relativeFrom="paragraph">
                        <wp:posOffset>121920</wp:posOffset>
                      </wp:positionV>
                      <wp:extent cx="125730" cy="161925"/>
                      <wp:effectExtent l="5715" t="7620" r="20955" b="20955"/>
                      <wp:wrapNone/>
                      <wp:docPr id="9" name="菱形 9"/>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9.6pt;height:12.75pt;width:9.9pt;z-index:-887677952;v-text-anchor:middle;mso-width-relative:page;mso-height-relative:page;" filled="f" stroked="t" coordsize="21600,21600" o:gfxdata="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GUucjXAAAABwEA&#10;AA8AAAAAAAAAAQAgAAAAIgAAAGRycy9kb3ducmV2LnhtbFBLAQIUABQAAAAIAIdO4kCG0qZIVAIA&#10;AIkEAAAOAAAAAAAAAAEAIAAAACYBAABkcnMvZTJvRG9jLnhtbFBLBQYAAAAABgAGAFkBAADsBQAA&#10;A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加快医院提质升级。县中医院正在内部装修，县人民医院正在建设主体，精神病院、户部寨卫生院开工建设，</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县二院等5家医院升级为二级综合医院</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117388800" behindDoc="0" locked="0" layoutInCell="1" allowOverlap="1">
                      <wp:simplePos x="0" y="0"/>
                      <wp:positionH relativeFrom="column">
                        <wp:posOffset>375920</wp:posOffset>
                      </wp:positionH>
                      <wp:positionV relativeFrom="paragraph">
                        <wp:posOffset>121920</wp:posOffset>
                      </wp:positionV>
                      <wp:extent cx="125730" cy="161925"/>
                      <wp:effectExtent l="5715" t="7620" r="20955" b="20955"/>
                      <wp:wrapNone/>
                      <wp:docPr id="10" name="菱形 10"/>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9.6pt;margin-top:9.6pt;height:12.75pt;width:9.9pt;z-index:1117388800;v-text-anchor:middle;mso-width-relative:page;mso-height-relative:page;" filled="f" stroked="t" coordsize="21600,21600" o:gfxdata="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zRPFQ1wAAAAcBAAAPAAAA&#10;AAAAAAEAIAAAACIAAABkcnMvZG93bnJldi54bWxQSwECFAAUAAAACACHTuJAXB2iE08CAACABAAA&#10;DgAAAAAAAAABACAAAAAmAQAAZHJzL2Uyb0RvYy54bWxQSwUGAAAAAAYABgBZAQAA5wU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实施文化体育设施建设工程。全县新建村级文化中心686个，实现行政村全覆盖；奥林匹克公园</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和8</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个足球场建成投用，全民健身中心综合馆正在装修。</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3122455552" behindDoc="0" locked="0" layoutInCell="1" allowOverlap="1">
                      <wp:simplePos x="0" y="0"/>
                      <wp:positionH relativeFrom="column">
                        <wp:posOffset>404495</wp:posOffset>
                      </wp:positionH>
                      <wp:positionV relativeFrom="paragraph">
                        <wp:posOffset>112395</wp:posOffset>
                      </wp:positionV>
                      <wp:extent cx="125730" cy="161925"/>
                      <wp:effectExtent l="5715" t="7620" r="20955" b="20955"/>
                      <wp:wrapNone/>
                      <wp:docPr id="11" name="菱形 11"/>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85pt;margin-top:8.85pt;height:12.75pt;width:9.9pt;z-index:-1172511744;v-text-anchor:middle;mso-width-relative:page;mso-height-relative:page;" filled="f" stroked="t" coordsize="21600,21600" o:gfxdata="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9I25N1wAAAAcB&#10;AAAPAAAAAAAAAAEAIAAAACIAAABkcnMvZG93bnJldi54bWxQSwECFAAUAAAACACHTuJAOpFkv1UC&#10;AACLBAAADgAAAAAAAAABACAAAAAmAQAAZHJzL2Uyb0RvYy54bWxQSwUGAAAAAAYABgBZAQAA7QUA&#10;AA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完善城市基础设施建设。大庆路南延等16条道路建成通车，县污水处理厂二期、城南新区污水处理厂顺利推进，供暖普及率达到80%以上。</w:t>
            </w:r>
          </w:p>
          <w:p>
            <w:pPr>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832555008" behindDoc="0" locked="0" layoutInCell="1" allowOverlap="1">
                      <wp:simplePos x="0" y="0"/>
                      <wp:positionH relativeFrom="column">
                        <wp:posOffset>394970</wp:posOffset>
                      </wp:positionH>
                      <wp:positionV relativeFrom="paragraph">
                        <wp:posOffset>102870</wp:posOffset>
                      </wp:positionV>
                      <wp:extent cx="125730" cy="161925"/>
                      <wp:effectExtent l="5715" t="7620" r="20955" b="20955"/>
                      <wp:wrapNone/>
                      <wp:docPr id="12" name="菱形 12"/>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8.1pt;height:12.75pt;width:9.9pt;z-index:832555008;v-text-anchor:middle;mso-width-relative:page;mso-height-relative:page;" filled="f" stroked="t" coordsize="21600,21600" o:gfxdata="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2dYjz9YAAAAHAQAADwAAAAAA&#10;AAABACAAAAAiAAAAZHJzL2Rvd25yZXYueG1sUEsBAhQAFAAAAAgAh07iQJLHB/ROAgAAgAQAAA4A&#10;AAAAAAAAAQAgAAAAJQ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加快推进棚户区改造。2017年16个棚改项目主体基本建成，2018年11个棚改项目顺利建设，2019年4个棚改项目拆迁完成。</w:t>
            </w:r>
          </w:p>
          <w:p>
            <w:pPr>
              <w:pStyle w:val="2"/>
              <w:keepNext w:val="0"/>
              <w:keepLines w:val="0"/>
              <w:pageBreakBefore w:val="0"/>
              <w:widowControl w:val="0"/>
              <w:kinsoku/>
              <w:wordWrap/>
              <w:overflowPunct/>
              <w:topLinePunct w:val="0"/>
              <w:autoSpaceDE/>
              <w:autoSpaceDN/>
              <w:bidi w:val="0"/>
              <w:adjustRightInd/>
              <w:snapToGrid/>
              <w:spacing w:line="520" w:lineRule="exact"/>
              <w:ind w:firstLine="900" w:firstLineChars="300"/>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2837621760" behindDoc="0" locked="0" layoutInCell="1" allowOverlap="1">
                      <wp:simplePos x="0" y="0"/>
                      <wp:positionH relativeFrom="column">
                        <wp:posOffset>385445</wp:posOffset>
                      </wp:positionH>
                      <wp:positionV relativeFrom="paragraph">
                        <wp:posOffset>112395</wp:posOffset>
                      </wp:positionV>
                      <wp:extent cx="125730" cy="161925"/>
                      <wp:effectExtent l="5715" t="7620" r="20955" b="20955"/>
                      <wp:wrapNone/>
                      <wp:docPr id="13" name="菱形 13"/>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8.85pt;height:12.75pt;width:9.9pt;z-index:-1457345536;v-text-anchor:middle;mso-width-relative:page;mso-height-relative:page;" filled="f" stroked="t" coordsize="21600,21600" o:gfxdata="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8bMgx1wAAAAcB&#10;AAAPAAAAAAAAAAEAIAAAACIAAABkcnMvZG93bnJldi54bWxQSwECFAAUAAAACACHTuJAF2KuI1UC&#10;AACLBAAADgAAAAAAAAABACAAAAAmAQAAZHJzL2Uyb0RvYy54bWxQSwUGAAAAAAYABgBZAQAA7QUA&#10;AA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扎实推进黄河滩区居民迁建。二批试点完成搬迁；三年规划县城安置区加快建设，渠村安置区、郎中安置区正在装修，王称堌安置区搬迁入住455户。</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2"/>
          <w:sz w:val="32"/>
          <w:szCs w:val="32"/>
          <w:lang w:val="en-US" w:eastAsia="zh-CN" w:bidi="ar-SA"/>
          <w14:textFill>
            <w14:solidFill>
              <w14:schemeClr w14:val="tx1"/>
            </w14:solidFill>
          </w14:textFill>
        </w:rPr>
        <w:t>二、2020年经济社会发展主要预期目标及重点任务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2020年是全面建成小康社会和</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十三五</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规划收官之年，为实现</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十四五</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发展和</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两个一百年</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奋斗目标，坚决贯彻党的基本理论、基本路线、基本方略和习近平总书记视察河南重要讲话精神，围绕全县经济社会发展总体要求，结合中央、省</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委</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、市</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委</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经济工作部署，衔接省、市国民经济和社会发展计划，提出2020年经济社会发展主要预期目标建议：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主要经济指标增速高于全市平均水平，居民人均可支配收入与经济增长同步。城镇新增就业6600人，登记失业率控制在4%以内。常住人口城镇化率提高1.8个百分点。环境保护等约束性指标完成省、市下达任务。</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坚决打赢脱贫攻坚战，现行标准下农村贫困人口全部脱贫，努力实现全面建设小康社会目标任务。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需要说明的是，受疫情冲击和国内外经济下行影响，我县经济发展同全国、全省、全市一样面临很大的不确定性，加之目前很多指标跟以往相比是不具可比性的，因此没有提出具体的主要经济量化指标，这符合中央“不以GDP论英雄”，将关注点更多地放在发展质量的提升和结构的优化上的要求，也有利于抓好“六稳”工作，守住“六保”底线，稳住经济的基本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面对严峻的发展形势和艰巨的发展任务，我们将</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坚定必胜信心、凝聚强大合力、注入持续动力</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突出抓好以下重点工作：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（一）突出重大战略实施，增创经济发展优势。一是做好重大战略研究。</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加强顶层设计，科学把握发展形势，高站位、高标准起草《濮阳县国民经济和社会发展第十四个五年规划纲要》（2021</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2025年），强化项目清单化推动，力争我县更多大项目好项目纳入国家、省、市规划布局。对接黄河流域生态保护和高质量发展战略，抢抓战略机遇和政策红利，出台相关实施意见和行动计划，加快推动县域经济高质量发展。</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二是强化项目储备。</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按照</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先动手、后伸手</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的原则，建立</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十四五</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规划、黄河流域生态保护和高质量发展、乡村振兴、生态保护、产业转型、社会领域补短板、中央投资和专项债券等项目库，让项目等资金、项目等政策，做到</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家里有粮心中不慌</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。紧跟投资方向，抓住专项债券、特别国债发行契机，抓牢中央预算内资金争取，拓展开行、农发行融资渠道，争取更多资金和项目落户我县。</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三是推动重大项目建设。</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围绕年度建设目标，坚持项目调度、督导考核、线上审批等机制，发挥企业首席服务员作用，确保44个省市重点项目、87个县定重大项目顺利建设，美国通用风机装备制造、中建材光热玻璃、德力西智能化车间、濮耐耐火材料产业园、华能风电等龙头型项目建成投产，浩森生物、朗润新材料、能信环保等新型化工基地支撑性项目试运行，中建材碲化镉薄膜太阳能电池、天顺风电设备制造、静脉产业园等新兴产业项目开工建设。围绕产业转型和高质量发展，加快推进12项61件事关我县夯实发展基础、增强发展后劲的重大事项，持续调结构，增动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t>专栏2：2020年产业转型和高质量发展重大事项</w:t>
      </w:r>
    </w:p>
    <w:tbl>
      <w:tblPr>
        <w:tblStyle w:val="7"/>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94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547721216" behindDoc="0" locked="0" layoutInCell="1" allowOverlap="1">
                      <wp:simplePos x="0" y="0"/>
                      <wp:positionH relativeFrom="column">
                        <wp:posOffset>404495</wp:posOffset>
                      </wp:positionH>
                      <wp:positionV relativeFrom="paragraph">
                        <wp:posOffset>134620</wp:posOffset>
                      </wp:positionV>
                      <wp:extent cx="125730" cy="161925"/>
                      <wp:effectExtent l="5715" t="7620" r="20955" b="20955"/>
                      <wp:wrapNone/>
                      <wp:docPr id="14" name="菱形 14"/>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85pt;margin-top:10.6pt;height:12.75pt;width:9.9pt;z-index:547721216;v-text-anchor:middle;mso-width-relative:page;mso-height-relative:page;" filled="f" stroked="t" coordsize="21600,21600" o:gfxdata="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7yy4zXAAAABwEAAA8AAAAA&#10;AAAAAQAgAAAAIgAAAGRycy9kb3ducmV2LnhtbFBLAQIUABQAAAAIAIdO4kCBrpgHTgIAAIAEAAAO&#10;AAAAAAAAAAEAIAAAACYBAABkcnMvZTJvRG9jLnhtbFBLBQYAAAAABgAGAFkBAADm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工业发展事项：包括战略新兴产业引进、新型化工基地建设、电子电气产业集群提质、风电产业集群培育、玻璃产业集群建设、医疗产业集群培育、传统产业提升改造、高新技术企业培育、龙头骨干企业培育、退城入园、天然气综合利用和交易平台建设等11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2552787968" behindDoc="0" locked="0" layoutInCell="1" allowOverlap="1">
                      <wp:simplePos x="0" y="0"/>
                      <wp:positionH relativeFrom="column">
                        <wp:posOffset>394970</wp:posOffset>
                      </wp:positionH>
                      <wp:positionV relativeFrom="paragraph">
                        <wp:posOffset>147320</wp:posOffset>
                      </wp:positionV>
                      <wp:extent cx="125730" cy="161925"/>
                      <wp:effectExtent l="5715" t="7620" r="20955" b="20955"/>
                      <wp:wrapNone/>
                      <wp:docPr id="15" name="菱形 15"/>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11.6pt;height:12.75pt;width:9.9pt;z-index:-1742179328;v-text-anchor:middle;mso-width-relative:page;mso-height-relative:page;" filled="f" stroked="t" coordsize="21600,21600" o:gfxdata="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I3sDXAAAA&#10;BwEAAA8AAAAAAAAAAQAgAAAAIgAAAGRycy9kb3ducmV2LnhtbFBLAQIUABQAAAAIAIdO4kAhcYBd&#10;VwIAAIsEAAAOAAAAAAAAAAEAIAAAACYBAABkcnMvZTJvRG9jLnhtbFBLBQYAAAAABgAGAFkBAADv&#10;BQAAA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服务业发展事项：包括文化旅游产业发展、健康养老产业发展、电商产业发展、农贸市场建设、综合物流园建设、区块链应用推广中心建设、国家安全信息监测监控中心建设、高端服务业引进、智慧金融建设等9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262887424" behindDoc="0" locked="0" layoutInCell="1" allowOverlap="1">
                      <wp:simplePos x="0" y="0"/>
                      <wp:positionH relativeFrom="column">
                        <wp:posOffset>394970</wp:posOffset>
                      </wp:positionH>
                      <wp:positionV relativeFrom="paragraph">
                        <wp:posOffset>144145</wp:posOffset>
                      </wp:positionV>
                      <wp:extent cx="125730" cy="161925"/>
                      <wp:effectExtent l="5715" t="7620" r="20955" b="20955"/>
                      <wp:wrapNone/>
                      <wp:docPr id="16" name="菱形 16"/>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11.35pt;height:12.75pt;width:9.9pt;z-index:262887424;v-text-anchor:middle;mso-width-relative:page;mso-height-relative:page;" filled="f" stroked="t" coordsize="21600,21600" o:gfxdata="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pUgLNYAAAAHAQAADwAAAAAA&#10;AAABACAAAAAiAAAAZHJzL2Rvd25yZXYueG1sUEsBAhQAFAAAAAgAh07iQE90PeBOAgAAgAQAAA4A&#10;AAAAAAAAAQAgAAAAJQ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农业发展事项：包括特色种植农业调整、土地流转推进、特色水产培育、濮阳县丹江水全覆盖等4件。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2267954176" behindDoc="0" locked="0" layoutInCell="1" allowOverlap="1">
                      <wp:simplePos x="0" y="0"/>
                      <wp:positionH relativeFrom="column">
                        <wp:posOffset>394970</wp:posOffset>
                      </wp:positionH>
                      <wp:positionV relativeFrom="paragraph">
                        <wp:posOffset>147320</wp:posOffset>
                      </wp:positionV>
                      <wp:extent cx="125730" cy="161925"/>
                      <wp:effectExtent l="5715" t="7620" r="20955" b="20955"/>
                      <wp:wrapNone/>
                      <wp:docPr id="17" name="菱形 17"/>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11.6pt;height:12.75pt;width:9.9pt;z-index:-2027013120;v-text-anchor:middle;mso-width-relative:page;mso-height-relative:page;" filled="f" stroked="t" coordsize="21600,21600" o:gfxdata="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I3sDXAAAABwEAAA8AAAAA&#10;AAAAAQAgAAAAIgAAAGRycy9kb3ducmV2LnhtbFBLAQIUABQAAAAIAIdO4kAome+TTgIAAIAEAAAO&#10;AAAAAAAAAAEAIAAAACYBAABkcnMvZTJvRG9jLnhtbFBLBQYAAAAABgAGAFkBAADm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城镇化建设事项：</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包括高铁商圈片区开发、城南新区建设、黄河滩区迁建、棚户区改造、公共停车场建设、争创全国文明县城、创建国家卫生县城、智慧城市建设、质量安全示范城市创建等9件。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4273020928" behindDoc="0" locked="0" layoutInCell="1" allowOverlap="1">
                      <wp:simplePos x="0" y="0"/>
                      <wp:positionH relativeFrom="column">
                        <wp:posOffset>404495</wp:posOffset>
                      </wp:positionH>
                      <wp:positionV relativeFrom="paragraph">
                        <wp:posOffset>144145</wp:posOffset>
                      </wp:positionV>
                      <wp:extent cx="125730" cy="161925"/>
                      <wp:effectExtent l="5715" t="7620" r="20955" b="20955"/>
                      <wp:wrapNone/>
                      <wp:docPr id="18" name="菱形 18"/>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85pt;margin-top:11.35pt;height:12.75pt;width:9.9pt;z-index:-21946368;v-text-anchor:middle;mso-width-relative:page;mso-height-relative:page;" filled="f" stroked="t" coordsize="21600,21600" o:gfxdata="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cLXYjXAAAABwEAAA8AAAAA&#10;AAAAAQAgAAAAIgAAAGRycy9kb3ducmV2LnhtbFBLAQIUABQAAAAIAIdO4kDmetc7TgIAAIAEAAAO&#10;AAAAAAAAAAEAIAAAACYBAABkcnMvZTJvRG9jLnhtbFBLBQYAAAAABgAGAFkBAADm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交通发展事项：</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包括梨园黄河公路大桥建设，菏宝高速连接线，乡道连接工程，阳新高速、濮卫高速建设等4件。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983120384" behindDoc="0" locked="0" layoutInCell="1" allowOverlap="1">
                      <wp:simplePos x="0" y="0"/>
                      <wp:positionH relativeFrom="column">
                        <wp:posOffset>394970</wp:posOffset>
                      </wp:positionH>
                      <wp:positionV relativeFrom="paragraph">
                        <wp:posOffset>137795</wp:posOffset>
                      </wp:positionV>
                      <wp:extent cx="125730" cy="161925"/>
                      <wp:effectExtent l="5715" t="7620" r="20955" b="20955"/>
                      <wp:wrapNone/>
                      <wp:docPr id="19" name="菱形 19"/>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10.85pt;height:12.75pt;width:9.9pt;z-index:1983120384;v-text-anchor:middle;mso-width-relative:page;mso-height-relative:page;" filled="f" stroked="t" coordsize="21600,21600" o:gfxdata="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1Z5fNNYAAAAHAQAADwAAAAAA&#10;AAABACAAAAAiAAAAZHJzL2Rvd25yZXYueG1sUEsBAhQAFAAAAAgAh07iQIGXBUhOAgAAgAQAAA4A&#10;AAAAAAAAAQAgAAAAJQ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社会事业发展事项：</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包括教育扩容提质、职业大专院校晋级、文化艺术创作中心创建等3件。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3988187136" behindDoc="0" locked="0" layoutInCell="1" allowOverlap="1">
                      <wp:simplePos x="0" y="0"/>
                      <wp:positionH relativeFrom="column">
                        <wp:posOffset>394970</wp:posOffset>
                      </wp:positionH>
                      <wp:positionV relativeFrom="paragraph">
                        <wp:posOffset>121920</wp:posOffset>
                      </wp:positionV>
                      <wp:extent cx="125730" cy="161925"/>
                      <wp:effectExtent l="5715" t="7620" r="20955" b="20955"/>
                      <wp:wrapNone/>
                      <wp:docPr id="20" name="菱形 20"/>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9.6pt;height:12.75pt;width:9.9pt;z-index:-306780160;v-text-anchor:middle;mso-width-relative:page;mso-height-relative:page;" filled="f" stroked="t" coordsize="21600,21600" o:gfxdata="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BlLnI1wAAAAcBAAAPAAAA&#10;AAAAAAEAIAAAACIAAABkcnMvZG93bnJldi54bWxQSwECFAAUAAAACACHTuJAJ3E8vE8CAACABAAA&#10;DgAAAAAAAAABACAAAAAmAQAAZHJzL2Uyb0RvYy54bWxQSwUGAAAAAAYABgBZAQAA5wU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能源发展事项：包括电网升级改造、清洁能源发展等2件。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698286592" behindDoc="0" locked="0" layoutInCell="1" allowOverlap="1">
                      <wp:simplePos x="0" y="0"/>
                      <wp:positionH relativeFrom="column">
                        <wp:posOffset>394970</wp:posOffset>
                      </wp:positionH>
                      <wp:positionV relativeFrom="paragraph">
                        <wp:posOffset>128270</wp:posOffset>
                      </wp:positionV>
                      <wp:extent cx="125730" cy="161925"/>
                      <wp:effectExtent l="5715" t="7620" r="20955" b="20955"/>
                      <wp:wrapNone/>
                      <wp:docPr id="21" name="菱形 21"/>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10.1pt;height:12.75pt;width:9.9pt;z-index:1698286592;v-text-anchor:middle;mso-width-relative:page;mso-height-relative:page;" filled="f" stroked="t" coordsize="21600,21600" o:gfxdata="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HPVvEtcAAAAHAQAADwAAAAAA&#10;AAABACAAAAAiAAAAZHJzL2Rvd25yZXYueG1sUEsBAhQAFAAAAAgAh07iQECc7s9NAgAAgAQAAA4A&#10;AAAAAAAAAQAgAAAAJg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环境保护事项：</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包括县城生态水系建设、水、大气、土壤环保攻坚、农村环境整治、静脉产业园建设等4件。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3703353344" behindDoc="0" locked="0" layoutInCell="1" allowOverlap="1">
                      <wp:simplePos x="0" y="0"/>
                      <wp:positionH relativeFrom="column">
                        <wp:posOffset>385445</wp:posOffset>
                      </wp:positionH>
                      <wp:positionV relativeFrom="paragraph">
                        <wp:posOffset>131445</wp:posOffset>
                      </wp:positionV>
                      <wp:extent cx="125730" cy="161925"/>
                      <wp:effectExtent l="5715" t="7620" r="20955" b="20955"/>
                      <wp:wrapNone/>
                      <wp:docPr id="22" name="菱形 22"/>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10.35pt;height:12.75pt;width:9.9pt;z-index:-591613952;v-text-anchor:middle;mso-width-relative:page;mso-height-relative:page;" filled="f" stroked="t" coordsize="21600,21600" o:gfxdata="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qoJMc1QAAAAcBAAAPAAAAAAAA&#10;AAEAIAAAACIAAABkcnMvZG93bnJldi54bWxQSwECFAAUAAAACACHTuJA6auZW04CAACABAAADgAA&#10;AAAAAAABACAAAAAkAQAAZHJzL2Uyb0RvYy54bWxQSwUGAAAAAAYABgBZAQAA5AU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改革事项：</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包括新成立一个投资集团、建筑公司资质升级、公立医疗机构改革、投资项目审批制度改革、营商环境改革、企业上市培育等6件。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413452800" behindDoc="0" locked="0" layoutInCell="1" allowOverlap="1">
                      <wp:simplePos x="0" y="0"/>
                      <wp:positionH relativeFrom="column">
                        <wp:posOffset>385445</wp:posOffset>
                      </wp:positionH>
                      <wp:positionV relativeFrom="paragraph">
                        <wp:posOffset>121920</wp:posOffset>
                      </wp:positionV>
                      <wp:extent cx="125730" cy="161925"/>
                      <wp:effectExtent l="5715" t="7620" r="20955" b="20955"/>
                      <wp:wrapNone/>
                      <wp:docPr id="23" name="菱形 23"/>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9.6pt;height:12.75pt;width:9.9pt;z-index:1413452800;v-text-anchor:middle;mso-width-relative:page;mso-height-relative:page;" filled="f" stroked="t" coordsize="21600,21600" o:gfxdata="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UViENYAAAAHAQAADwAAAAAA&#10;AAABACAAAAAiAAAAZHJzL2Rvd25yZXYueG1sUEsBAhQAFAAAAAgAh07iQI5GSyhOAgAAgAQAAA4A&#10;AAAAAAAAAQAgAAAAJQ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就业事项：</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包括农民工返乡创业、大学生创业、农民技能培训、农民外出就业推荐等4件。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3418519552" behindDoc="0" locked="0" layoutInCell="1" allowOverlap="1">
                      <wp:simplePos x="0" y="0"/>
                      <wp:positionH relativeFrom="column">
                        <wp:posOffset>385445</wp:posOffset>
                      </wp:positionH>
                      <wp:positionV relativeFrom="paragraph">
                        <wp:posOffset>134620</wp:posOffset>
                      </wp:positionV>
                      <wp:extent cx="125730" cy="161925"/>
                      <wp:effectExtent l="5715" t="7620" r="20955" b="20955"/>
                      <wp:wrapNone/>
                      <wp:docPr id="24" name="菱形 24"/>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10.6pt;height:12.75pt;width:9.9pt;z-index:-876447744;v-text-anchor:middle;mso-width-relative:page;mso-height-relative:page;" filled="f" stroked="t" coordsize="21600,21600" o:gfxdata="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vvW3w1gAAAAcB&#10;AAAPAAAAAAAAAAEAIAAAACIAAABkcnMvZG93bnJldi54bWxQSwECFAAUAAAACACHTuJAUta/mVYC&#10;AACLBAAADgAAAAAAAAABACAAAAAlAQAAZHJzL2Uyb0RvYy54bWxQSwUGAAAAAAYABgBZAQAA7QUA&#10;AA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人才培育事项：</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包括高层次人才引进培养、农村致富带头人培养、</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李连成</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式好书记培训等3件。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128619008" behindDoc="0" locked="0" layoutInCell="1" allowOverlap="1">
                      <wp:simplePos x="0" y="0"/>
                      <wp:positionH relativeFrom="column">
                        <wp:posOffset>394970</wp:posOffset>
                      </wp:positionH>
                      <wp:positionV relativeFrom="paragraph">
                        <wp:posOffset>128270</wp:posOffset>
                      </wp:positionV>
                      <wp:extent cx="125730" cy="161925"/>
                      <wp:effectExtent l="5715" t="7620" r="20955" b="20955"/>
                      <wp:wrapNone/>
                      <wp:docPr id="25" name="菱形 25"/>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10.1pt;height:12.75pt;width:9.9pt;z-index:1128619008;v-text-anchor:middle;mso-width-relative:page;mso-height-relative:page;" filled="f" stroked="t" coordsize="21600,21600" o:gfxdata="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c9W8S1wAAAAcBAAAPAAAA&#10;AAAAAAEAIAAAACIAAABkcnMvZG93bnJldi54bWxQSwECFAAUAAAACACHTuJAnS/U208CAACABAAA&#10;DgAAAAAAAAABACAAAAAmAQAAZHJzL2Uyb0RvYy54bWxQSwUGAAAAAAYABgBZAQAA5wU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u w:val="none"/>
                <w:lang w:val="en-US" w:eastAsia="zh-CN"/>
                <w14:textFill>
                  <w14:solidFill>
                    <w14:schemeClr w14:val="tx1"/>
                  </w14:solidFill>
                </w14:textFill>
              </w:rPr>
              <w:t>其他事项：</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包括争取土地指标、社会管理创新等2件。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（二）突出产业转型升级，加快新旧动能转换。一是着力壮大制造业产业集群。</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围绕新型工业化，打造装备制造、新材料、绿色食品三大主导产业，装备制造产业以风电装备制造、智能家居制造为主，新材料产业以玻璃新材料、耐火新材料、化工新材料为主，绿色食品产业以优质农副产品、畜禽深加工为主，形成牢固的工业经济支撑点。培育壮大产业集群，风电装备制造以美国通用为核心，智能家居制造以德力西为支撑，玻璃新材料以中建材为引领，耐火新材料以濮耐为中心，化工新材料以蔚林化工为重点，绿色食品以中粮凯利来为带动，以龙头企业发展带动产业集群发展，提升工业发展竞争力。实施</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明帅照明</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等5个智能化改造项目、天源生物等2个绿色化改造项目、家雄等7个技术改造项目，培育智能工厂、智能车间、绿色工厂5家以上，促进企业提质增效，抢占产业制高点。</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二是着力促进优势特色农业发展。</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积极调整农业结构，新建高标准农田15万亩，新增滩区流转土地面积5万亩，复垦耕地7673亩，打造家家宜、慧升农业等绿色高效农业示范园区；以天耕农业、渔丰水产、八公桥金银花为重点，大力发展食用菌、水产养殖、中药材等高效农业；探索发展林下经济、庭院经济，多种方式增加农民收入。依托庆祖食品园区，加快实施中建材智慧农业等全产业链项目；引导畜禽规模化养殖，建设新希望六和生猪养殖基地，创建国家农村产业融合发展示范园，促进农村一二三产业有机融合。</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三是着力提升服务业发展层级。</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启动濮阳县综合物流园项目，打造仓储、配送、物流、交易等一体化区域物流枢纽和交易中心。大力发展电子商务，运营京东云仓、农产品网货收集中心等电商载体，完善网络直播、线下派送等公共服务，打响</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龙乡</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鹅蛋优质品牌。改造提升商贸业，加快峰华新时代、濮水小镇民俗街等项目建设，引进喜来登等高端商业品牌，培育服务业增长极。依托光电研究院等公共服务平台，大力引进科研、金融、信息等生产性服务业。以雄安新区水源地为特色，依托金堤河湿地公园、中华龙源景区、娄昌湖杂技产业园等景区，完善旅游配套基础设施和公共服务，塑造黄河康养旅游品牌。</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四是着力做强产业发展载体。</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完善</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两区一园</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道路、供气、供热、供电、供水和污水集中处理等基础设施，提升产业集聚区承载力。县产业集聚区加快建设中建材、汇元药业等企业创新研发平台，加快处置清华同方、宇浩光电等僵尸企业；化工产业集聚区建成企业服务中心、研发中心、公共管廊等服务载体，户部寨、文留安置区实现搬迁入住；庆祖食品园区谋划建设仓储及冷链物流园、食品质量监测及服务中心，逐步完善园区功能，增强园区创新能力和公共服务能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t>专栏3：2020年省市重大项目</w:t>
      </w:r>
    </w:p>
    <w:tbl>
      <w:tblPr>
        <w:tblStyle w:val="7"/>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946"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省市重点项目44个，总投资526.2亿元，计划投资221.1亿元。</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3133685760" behindDoc="0" locked="0" layoutInCell="1" allowOverlap="1">
                      <wp:simplePos x="0" y="0"/>
                      <wp:positionH relativeFrom="column">
                        <wp:posOffset>404495</wp:posOffset>
                      </wp:positionH>
                      <wp:positionV relativeFrom="paragraph">
                        <wp:posOffset>128270</wp:posOffset>
                      </wp:positionV>
                      <wp:extent cx="125730" cy="161925"/>
                      <wp:effectExtent l="5715" t="7620" r="20955" b="20955"/>
                      <wp:wrapNone/>
                      <wp:docPr id="26" name="菱形 26"/>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85pt;margin-top:10.1pt;height:12.75pt;width:9.9pt;z-index:-1161281536;v-text-anchor:middle;mso-width-relative:page;mso-height-relative:page;" filled="f" stroked="t" coordsize="21600,21600" o:gfxdata="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WsSttcAAAAH&#10;AQAADwAAAAAAAAABACAAAAAiAAAAZHJzL2Rvd25yZXYueG1sUEsBAhQAFAAAAAgAh07iQH8ldQVW&#10;AgAAiwQAAA4AAAAAAAAAAQAgAAAAJgEAAGRycy9lMm9Eb2MueG1sUEsFBgAAAAAGAAYAWQEAAO4F&#10;AAAA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工业项目：包括中建材碲化镉、朗润新材料、美国通用风机装备等16个项目，总投资124.9亿元，计划投资54.7亿元。</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843785216" behindDoc="0" locked="0" layoutInCell="1" allowOverlap="1">
                      <wp:simplePos x="0" y="0"/>
                      <wp:positionH relativeFrom="column">
                        <wp:posOffset>414020</wp:posOffset>
                      </wp:positionH>
                      <wp:positionV relativeFrom="paragraph">
                        <wp:posOffset>140970</wp:posOffset>
                      </wp:positionV>
                      <wp:extent cx="125730" cy="161925"/>
                      <wp:effectExtent l="5715" t="7620" r="20955" b="20955"/>
                      <wp:wrapNone/>
                      <wp:docPr id="27" name="菱形 27"/>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2.6pt;margin-top:11.1pt;height:12.75pt;width:9.9pt;z-index:843785216;v-text-anchor:middle;mso-width-relative:page;mso-height-relative:page;" filled="f" stroked="t" coordsize="21600,21600" o:gfxdata="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Z24PvXAAAABwEAAA8AAAAA&#10;AAAAAQAgAAAAIgAAAGRycy9kb3ducmV2LnhtbFBLAQIUABQAAAAIAIdO4kBT9XE8TgIAAIAEAAAO&#10;AAAAAAAAAAEAIAAAACYBAABkcnMvZTJvRG9jLnhtbFBLBQYAAAAABgAGAFkBAADm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农林水项目：包括新希望六和生猪养殖、生态水系工程、中建材智慧农业等6个项目，总投资58.4亿元，计划投资16.9亿元。</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2848851968" behindDoc="0" locked="0" layoutInCell="1" allowOverlap="1">
                      <wp:simplePos x="0" y="0"/>
                      <wp:positionH relativeFrom="column">
                        <wp:posOffset>414020</wp:posOffset>
                      </wp:positionH>
                      <wp:positionV relativeFrom="paragraph">
                        <wp:posOffset>121920</wp:posOffset>
                      </wp:positionV>
                      <wp:extent cx="125730" cy="161925"/>
                      <wp:effectExtent l="5715" t="7620" r="20955" b="20955"/>
                      <wp:wrapNone/>
                      <wp:docPr id="28" name="菱形 28"/>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2.6pt;margin-top:9.6pt;height:12.75pt;width:9.9pt;z-index:-1446115328;v-text-anchor:middle;mso-width-relative:page;mso-height-relative:page;" filled="f" stroked="t" coordsize="21600,21600" o:gfxdata="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8zmga1wAAAAcB&#10;AAAPAAAAAAAAAAEAIAAAACIAAABkcnMvZG93bnJldi54bWxQSwECFAAUAAAACACHTuJAPvDjZVUC&#10;AACLBAAADgAAAAAAAAABACAAAAAmAQAAZHJzL2Uyb0RvYy54bWxQSwUGAAAAAAYABgBZAQAA7QUA&#10;AA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城建环保项目：包括棚户区改造、城南水生态治理、静脉产业园等10个项目，总投资158亿元，计划投资59.8亿元。</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558951424" behindDoc="0" locked="0" layoutInCell="1" allowOverlap="1">
                      <wp:simplePos x="0" y="0"/>
                      <wp:positionH relativeFrom="column">
                        <wp:posOffset>414020</wp:posOffset>
                      </wp:positionH>
                      <wp:positionV relativeFrom="paragraph">
                        <wp:posOffset>134620</wp:posOffset>
                      </wp:positionV>
                      <wp:extent cx="125730" cy="161925"/>
                      <wp:effectExtent l="5715" t="7620" r="20955" b="20955"/>
                      <wp:wrapNone/>
                      <wp:docPr id="29" name="菱形 29"/>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2.6pt;margin-top:10.6pt;height:12.75pt;width:9.9pt;z-index:558951424;v-text-anchor:middle;mso-width-relative:page;mso-height-relative:page;" filled="f" stroked="t" coordsize="21600,21600" o:gfxdata="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42Z/rXAAAABwEAAA8AAAAA&#10;AAAAAQAgAAAAIgAAAGRycy9kb3ducmV2LnhtbFBLAQIUABQAAAAIAIdO4kD6+5vnTgIAAIAEAAAO&#10;AAAAAAAAAAEAIAAAACYBAABkcnMvZTJvRG9jLnhtbFBLBQYAAAAABgAGAFkBAADm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社会事业项目：包括黄河滩区迁建、人民医院新院区、职教中心等5个项目，总投资53.8亿元，计划投资25亿元。</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2564018176" behindDoc="0" locked="0" layoutInCell="1" allowOverlap="1">
                      <wp:simplePos x="0" y="0"/>
                      <wp:positionH relativeFrom="column">
                        <wp:posOffset>385445</wp:posOffset>
                      </wp:positionH>
                      <wp:positionV relativeFrom="paragraph">
                        <wp:posOffset>128270</wp:posOffset>
                      </wp:positionV>
                      <wp:extent cx="125730" cy="161925"/>
                      <wp:effectExtent l="5715" t="7620" r="20955" b="20955"/>
                      <wp:wrapNone/>
                      <wp:docPr id="30" name="菱形 30"/>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10.1pt;height:12.75pt;width:9.9pt;z-index:-1730949120;v-text-anchor:middle;mso-width-relative:page;mso-height-relative:page;" filled="f" stroked="t" coordsize="21600,21600" o:gfxdata="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CS0ytYAAAAHAQAA&#10;DwAAAAAAAAABACAAAAAiAAAAZHJzL2Rvd25yZXYueG1sUEsBAhQAFAAAAAgAh07iQAr9+llUAgAA&#10;iwQAAA4AAAAAAAAAAQAgAAAAJQEAAGRycy9lMm9Eb2MueG1sUEsFBgAAAAAGAAYAWQEAAOsFAAAA&#10;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交通能源项目：包括华能濮阳650兆瓦风电场、清河头至户部寨道路改建等3个项目，总投资54.6亿元，计划投资41.3亿元。</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274117632" behindDoc="0" locked="0" layoutInCell="1" allowOverlap="1">
                      <wp:simplePos x="0" y="0"/>
                      <wp:positionH relativeFrom="column">
                        <wp:posOffset>385445</wp:posOffset>
                      </wp:positionH>
                      <wp:positionV relativeFrom="paragraph">
                        <wp:posOffset>131445</wp:posOffset>
                      </wp:positionV>
                      <wp:extent cx="125730" cy="161925"/>
                      <wp:effectExtent l="5715" t="7620" r="20955" b="20955"/>
                      <wp:wrapNone/>
                      <wp:docPr id="31" name="菱形 31"/>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10.35pt;height:12.75pt;width:9.9pt;z-index:274117632;v-text-anchor:middle;mso-width-relative:page;mso-height-relative:page;" filled="f" stroked="t" coordsize="21600,21600" o:gfxdata="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qgkxzVAAAABwEAAA8AAAAAAAAA&#10;AQAgAAAAIgAAAGRycy9kb3ducmV2LnhtbFBLAQIUABQAAAAIAIdO4kBWukscTQIAAIAEAAAOAAAA&#10;AAAAAAEAIAAAACQBAABkcnMvZTJvRG9jLnhtbFBLBQYAAAAABgAGAFkBAADj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服务业项目：包括喜来登城市综合体、德力西物流中心等4个项目，总投资76.5亿元，计划投资23.5亿元。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（三）突出基础设施建设，推动城乡一体化发展。一是做优县城，增强人口吸引力。</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加快建设盘锦三期、龙城国际四期等27个安置区，启动公安局家属院、政和社区、龙都社区等29个老旧小区改造项目，新增集中供暖面积210万平方米，提升市民宜居舒适度。</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新建</w:t>
      </w:r>
      <w:r>
        <w:rPr>
          <w:rFonts w:hint="eastAsia"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建设路东延、未来路东段等17条道路</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，改造国庆路、工业路等4条道路，高标准绿化大庆路、</w:t>
      </w:r>
      <w:r>
        <w:rPr>
          <w:rFonts w:hint="default" w:ascii="Times New Roman" w:hAnsi="Times New Roman" w:eastAsia="仿宋" w:cs="Times New Roman"/>
          <w:b w:val="0"/>
          <w:bCs w:val="0"/>
          <w:color w:val="000000" w:themeColor="text1"/>
          <w:kern w:val="2"/>
          <w:sz w:val="32"/>
          <w:szCs w:val="32"/>
          <w:u w:val="none"/>
          <w:lang w:val="en-US" w:eastAsia="zh-CN" w:bidi="ar-SA"/>
          <w14:textFill>
            <w14:solidFill>
              <w14:schemeClr w14:val="tx1"/>
            </w14:solidFill>
          </w14:textFill>
        </w:rPr>
        <w:t>建新路</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等11条道路，投用县综合客运枢纽站，提升市民出行满意度。建成县城污水处理厂二期、城南新区污水处理厂等项目，开工建设23.9公里雨污水管网和5个雨污水泵站，提升市民环境认可度。新建红旗路、上亿广场等3个农贸市场，建成党校西公共停车场，增加3处街角公园，提升市民生活便利度。</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二是做强</w:t>
      </w:r>
      <w:r>
        <w:rPr>
          <w:rFonts w:hint="eastAsia"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乡镇</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，增强区域辐射力。</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建成G106改线、引黄入冀快速通道等5条道路，启动建设S305濮淇线改造项目，持续改善</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乡（镇）</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交通路网。积极培育发展文留、柳屯、庆祖等重点</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乡（镇）</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加强基础设施配套建设，实施澶州河、农村安全饮水、渠村灌区节水改造等水利工程，实现丹江水水源全覆盖，启动渠村黄河公园、庆祖镇立面提升等工程，加快推进党建小镇，建设一批工业强镇、商贸重镇、文旅小镇，进一步发挥</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乡（镇）</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连接城乡的纽带作用。</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三是做美乡村，增强振兴承载力。</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深入实施农村人居环境整治行动，改造农村无害化厕所19725户，农村无害化卫生厕所普及率达到80%以上；建成17个</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乡（镇）</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污水处理厂，建设农村污水管网210公里；修建农村主街道、连户公路140.4公里，持续创建美丽乡村，争创省级</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四美</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乡村先进县，筑牢乡村振兴发展基础。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t>专栏4：2020年城乡建设重大工程</w:t>
      </w:r>
    </w:p>
    <w:tbl>
      <w:tblPr>
        <w:tblStyle w:val="7"/>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946"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2279184384" behindDoc="0" locked="0" layoutInCell="1" allowOverlap="1">
                      <wp:simplePos x="0" y="0"/>
                      <wp:positionH relativeFrom="column">
                        <wp:posOffset>385445</wp:posOffset>
                      </wp:positionH>
                      <wp:positionV relativeFrom="paragraph">
                        <wp:posOffset>131445</wp:posOffset>
                      </wp:positionV>
                      <wp:extent cx="125730" cy="161925"/>
                      <wp:effectExtent l="5715" t="7620" r="20955" b="20955"/>
                      <wp:wrapNone/>
                      <wp:docPr id="32" name="菱形 32"/>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10.35pt;height:12.75pt;width:9.9pt;z-index:-2015782912;v-text-anchor:middle;mso-width-relative:page;mso-height-relative:page;" filled="f" stroked="t" coordsize="21600,21600" o:gfxdata="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qoJMc1QAAAAcBAAAPAAAAAAAA&#10;AAEAIAAAACIAAABkcnMvZG93bnJldi54bWxQSwECFAAUAAAACACHTuJA/408iE4CAACABAAADgAA&#10;AAAAAAABACAAAAAkAQAAZHJzL2Uyb0RvYy54bWxQSwUGAAAAAAYABgBZAQAA5AU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城市基础设施提升工程：新建北关街（铁丘路—红旗路）、建设路东延（106</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龙乡路）、干城路（黄河路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建设路）、龙乡路（黄河路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建设路）、昌盛路东延（大庆路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文硕路）、大众路（工业路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翰林苑西墙）、未来路（解放路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昆吾路）、规划三路（规划七路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新东路）、华美路（昆吾路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北关街）等9条9.45公里道路；改建国庆路（濮上路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工业路）、长庆路、工业路人行道（昌盛路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富民路；国庆路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挥公大道）、富民路中段（建新路</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安庆路）等4条12.8公里道路。</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mc:AlternateContent>
                <mc:Choice Requires="wps">
                  <w:drawing>
                    <wp:anchor distT="0" distB="0" distL="114300" distR="114300" simplePos="0" relativeHeight="1162309632" behindDoc="0" locked="0" layoutInCell="1" allowOverlap="1">
                      <wp:simplePos x="0" y="0"/>
                      <wp:positionH relativeFrom="column">
                        <wp:posOffset>414020</wp:posOffset>
                      </wp:positionH>
                      <wp:positionV relativeFrom="paragraph">
                        <wp:posOffset>144145</wp:posOffset>
                      </wp:positionV>
                      <wp:extent cx="125730" cy="161925"/>
                      <wp:effectExtent l="5715" t="7620" r="20955" b="20955"/>
                      <wp:wrapNone/>
                      <wp:docPr id="45" name="菱形 45"/>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2.6pt;margin-top:11.35pt;height:12.75pt;width:9.9pt;z-index:1162309632;v-text-anchor:middle;mso-width-relative:page;mso-height-relative:page;" filled="f" stroked="t" coordsize="21600,21600" o:gfxdata="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3z/H+1gAAAAcBAAAPAAAA&#10;AAAAAAEAIAAAACIAAABkcnMvZG93bnJldi54bWxQSwECFAAUAAAACACHTuJAKvGZX1ACAACABAAA&#10;DgAAAAAAAAABACAAAAAlAQAAZHJzL2Uyb0RvYy54bWxQSwUGAAAAAAYABgBZAQAA5wU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棚户区改造和老旧小区改造工程：2017年棚改项目安置区部分完成交房，2018年棚改项目安置区全部主体完工，2019年棚改项目部分封顶；改造老旧小区29个20万平方米。</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mc:AlternateContent>
                <mc:Choice Requires="wps">
                  <w:drawing>
                    <wp:anchor distT="0" distB="0" distL="114300" distR="114300" simplePos="0" relativeHeight="3167376384" behindDoc="0" locked="0" layoutInCell="1" allowOverlap="1">
                      <wp:simplePos x="0" y="0"/>
                      <wp:positionH relativeFrom="column">
                        <wp:posOffset>404495</wp:posOffset>
                      </wp:positionH>
                      <wp:positionV relativeFrom="paragraph">
                        <wp:posOffset>144145</wp:posOffset>
                      </wp:positionV>
                      <wp:extent cx="125730" cy="161925"/>
                      <wp:effectExtent l="5715" t="7620" r="20955" b="20955"/>
                      <wp:wrapNone/>
                      <wp:docPr id="47" name="菱形 47"/>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85pt;margin-top:11.35pt;height:12.75pt;width:9.9pt;z-index:-1127590912;v-text-anchor:middle;mso-width-relative:page;mso-height-relative:page;" filled="f" stroked="t" coordsize="21600,21600" o:gfxdata="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JwtdiNcAAAAH&#10;AQAADwAAAAAAAAABACAAAAAiAAAAZHJzL2Rvd25yZXYueG1sUEsBAhQAFAAAAAgAh07iQENkbGlW&#10;AgAAiwQAAA4AAAAAAAAAAQAgAAAAJgEAAGRycy9lMm9Eb2MueG1sUEsFBgAAAAAGAAYAWQEAAO4F&#10;AAAAAA==&#10;">
                      <v:fill on="f" focussize="0,0"/>
                      <v:stroke weight="0.5pt" color="#000000 [3213]" miterlimit="8" joinstyle="miter"/>
                      <v:imagedata o:title=""/>
                      <o:lock v:ext="edit" aspectratio="f"/>
                      <v:textbox>
                        <w:txbxContent>
                          <w:p>
                            <w:pPr>
                              <w:jc w:val="center"/>
                            </w:pPr>
                          </w:p>
                        </w:txbxContent>
                      </v:textbox>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城市生态水系建设工程：大力推进城区道路、公园、公共停车场绿化，新增城市绿地60万平方米；建设整治政通河、清河、古城河、潜龙河、未央河、桑间河6条城市河流，改善水生态。</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mc:AlternateContent>
                <mc:Choice Requires="wps">
                  <w:drawing>
                    <wp:anchor distT="0" distB="0" distL="114300" distR="114300" simplePos="0" relativeHeight="1765667840" behindDoc="0" locked="0" layoutInCell="1" allowOverlap="1">
                      <wp:simplePos x="0" y="0"/>
                      <wp:positionH relativeFrom="column">
                        <wp:posOffset>375920</wp:posOffset>
                      </wp:positionH>
                      <wp:positionV relativeFrom="paragraph">
                        <wp:posOffset>144145</wp:posOffset>
                      </wp:positionV>
                      <wp:extent cx="125730" cy="161925"/>
                      <wp:effectExtent l="5715" t="7620" r="20955" b="20955"/>
                      <wp:wrapNone/>
                      <wp:docPr id="51" name="菱形 51"/>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9.6pt;margin-top:11.35pt;height:12.75pt;width:9.9pt;z-index:1765667840;v-text-anchor:middle;mso-width-relative:page;mso-height-relative:page;" filled="f" stroked="t" coordsize="21600,21600" o:gfxdata="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uEVotNcAAAAHAQAADwAAAAAA&#10;AAABACAAAAAiAAAAZHJzL2Rvd25yZXYueG1sUEsBAhQAFAAAAAgAh07iQOFkBphNAgAAgAQAAA4A&#10;AAAAAAAAAQAgAAAAJg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智慧城市建设工程：启动</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城市大脑</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项目，推动交通、环保、城管、医疗、金融、教育等领域数据整合共享。</w:t>
            </w:r>
          </w:p>
          <w:p>
            <w:pPr>
              <w:keepNext w:val="0"/>
              <w:keepLines w:val="0"/>
              <w:pageBreakBefore w:val="0"/>
              <w:widowControl w:val="0"/>
              <w:kinsoku/>
              <w:wordWrap/>
              <w:overflowPunct/>
              <w:topLinePunct w:val="0"/>
              <w:autoSpaceDE/>
              <w:autoSpaceDN/>
              <w:bidi w:val="0"/>
              <w:adjustRightInd/>
              <w:snapToGrid/>
              <w:spacing w:line="580" w:lineRule="exact"/>
              <w:ind w:firstLine="900" w:firstLineChars="300"/>
              <w:textAlignment w:val="auto"/>
              <w:rPr>
                <w:rFonts w:hint="default" w:ascii="Times New Roman" w:hAnsi="Times New Roman" w:cs="Times New Roman"/>
                <w:b w:val="0"/>
                <w:bCs w:val="0"/>
                <w:color w:val="000000" w:themeColor="text1"/>
                <w:lang w:val="en-US"/>
                <w14:textFill>
                  <w14:solidFill>
                    <w14:schemeClr w14:val="tx1"/>
                  </w14:solidFill>
                </w14:textFill>
              </w:rPr>
            </w:pP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mc:AlternateContent>
                <mc:Choice Requires="wps">
                  <w:drawing>
                    <wp:anchor distT="0" distB="0" distL="114300" distR="114300" simplePos="0" relativeHeight="2335335424" behindDoc="0" locked="0" layoutInCell="1" allowOverlap="1">
                      <wp:simplePos x="0" y="0"/>
                      <wp:positionH relativeFrom="column">
                        <wp:posOffset>385445</wp:posOffset>
                      </wp:positionH>
                      <wp:positionV relativeFrom="paragraph">
                        <wp:posOffset>140970</wp:posOffset>
                      </wp:positionV>
                      <wp:extent cx="125730" cy="161925"/>
                      <wp:effectExtent l="5715" t="7620" r="20955" b="20955"/>
                      <wp:wrapNone/>
                      <wp:docPr id="53" name="菱形 53"/>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0.35pt;margin-top:11.1pt;height:12.75pt;width:9.9pt;z-index:-1959631872;v-text-anchor:middle;mso-width-relative:page;mso-height-relative:page;" filled="f" stroked="t" coordsize="21600,21600" o:gfxdata="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3q8dYAAAAHAQAADwAAAAAA&#10;AAABACAAAAAiAAAAZHJzL2Rvd25yZXYueG1sUEsBAhQAFAAAAAgAh07iQC++o39OAgAAgAQAAA4A&#10;AAAAAAAAAQAgAAAAJQ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农村基础设施及环境提升工程：新改建农村公路5条65公里；完成26个行政村电网改造；</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气化濮阳</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完成92个村8.6万户通气；完成无害化卫生厕所改造19725户；实施6</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2</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个省市</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最美乡村</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提升工程。</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（四）突出深化改革开放，激发县域发展活力。一是持续优化营商环境。</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坚持首席服务员制、县级领导分包企业制，设立企业投诉受理平台，不断提升服务企业能力。整合有效资产，谋划成立第二投资集团，做大做强开州投资集团主营业务，建立现代化企业制度，创新融资方式，保障重大项目资金需求。严格落实中央、省明令取消、停征、减免的收费政策，</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年内免征公共交通运输、餐饮住宿等服务增值税，小微企业、个体工商户所得税缴纳延缓至明年，</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切实降低企业经营成本。积极打造行政许可及服务事项</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一张网</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，实施多评合一、区域评估等审批制度改革，规范</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最多跑一次</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服务，推动行政审批提速增效。</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二是持续强化重点领域改革。</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实施产业集聚区</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二次创业</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行动，突出亩均产出提高、集群培育提速、绿色发展提升，加快推进</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管委会+公司</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模式改革。构建城乡融合发展机制，探索农村集体经营性建设用地入市制度、农村产权抵押担保权能制度、宅基地</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三权分置</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制度等。大力发展农村集体经济，发放</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两权</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抵押贷款1亿元以上，集体经济年收入5万元以上的村达到350个。</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三是持续加大创新机制改革。</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开展有新产品、有专利、有品牌、有产学研合作为主的</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四有</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创建活动，积极培育国家、省、市重点实验室和技术研发中心，大力建设人才培养、技术创新、成果转化平台，做强做大光电研究院，充分发挥电光源质检中心作用，加快校企联盟、技术转移联盟建设，力争新增高新技术企业2家，市级工程技术中心3家。</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四是持续提升招商开放水平。</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把</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高新特大</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项目作为产业加快发展的核心动力，注重产业链、价值链、供应链招商，完善产业生态链，突出先进制造业和生产性服务业项目招引，重点突破一批超10亿元乃至超30亿元、50亿元的龙头型、基地型项目。加快</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走出去</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步伐，扩大特色农副产品、高附加值产品出口，提高品牌竞争力和县域影响力。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（五）突出补短板强弱项，坚决打赢三大攻坚战。一是巩固脱贫成果。</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按照脱贫</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四个不摘</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要求，做到</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五个不减</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，扎实开展脱贫攻坚</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回头看</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，进一步巩固</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两不愁、三保障</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健全监测预警机制，确保我县剩余农村贫困人口全部脱贫，做到贫困户脱贫不返贫、贫困村全部出列，并及时做好返贫人口和新发生贫困人口的监测和帮扶。做好黄河滩区三年规划搬迁，有序实现县城、渠村、郎中、王称堌安置区居民搬迁入住，加大旧房拆除、土地复垦、就业帮扶等工作力度，实现滩区群众</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安居乐业</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梦想。</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二是加强生态环境保护。</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编制县乡国土空间总体规划、循环经济发展规划，科学划定生态保护红线、永久基本农田、城镇开发边界等控制线，优化生态空间布局。生态修复政通河、御龙河、清河、潜龙河、未央河、桑间河等6条城市河流，提升生态水系功能。静脉产业园生活垃圾发电一期项目主体建成，能信环保年处理10万吨危险废弃物项目投入使用，推动资源综合利用。建设引黄入冀补淀水源地生态涵养林，沿金堤河、澶州河造林1.2万亩，不断扩大黄河湿地省级自然保护区、金堤河国家湿地公园湿地面积，增强生态湿地涵养能力。打赢蓝天保卫战，力争细颗粒物（PM</w:t>
      </w:r>
      <w:r>
        <w:rPr>
          <w:rFonts w:hint="default" w:ascii="Times New Roman" w:hAnsi="Times New Roman" w:eastAsia="仿宋" w:cs="Times New Roman"/>
          <w:b/>
          <w:bCs/>
          <w:color w:val="000000" w:themeColor="text1"/>
          <w:kern w:val="2"/>
          <w:sz w:val="32"/>
          <w:szCs w:val="32"/>
          <w:vertAlign w:val="subscript"/>
          <w:lang w:val="en-US" w:eastAsia="zh-CN" w:bidi="ar-SA"/>
          <w14:textFill>
            <w14:solidFill>
              <w14:schemeClr w14:val="tx1"/>
            </w14:solidFill>
          </w14:textFill>
        </w:rPr>
        <w:t>2.5</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）年均浓度控制在59</w:t>
      </w:r>
      <w:r>
        <w:rPr>
          <w:rFonts w:hint="default" w:ascii="Times New Roman" w:hAnsi="Times New Roman" w:eastAsia="仿宋" w:cs="Times New Roman"/>
          <w:b w:val="0"/>
          <w:bCs w:val="0"/>
          <w:color w:val="000000" w:themeColor="text1"/>
          <w:spacing w:val="-34"/>
          <w:kern w:val="2"/>
          <w:sz w:val="32"/>
          <w:szCs w:val="32"/>
          <w:lang w:val="en-US" w:eastAsia="zh-CN" w:bidi="ar-SA"/>
          <w14:textFill>
            <w14:solidFill>
              <w14:schemeClr w14:val="tx1"/>
            </w14:solidFill>
          </w14:textFill>
        </w:rPr>
        <w:t>μg</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/m³以下，可吸入颗粒物（PM</w:t>
      </w:r>
      <w:r>
        <w:rPr>
          <w:rFonts w:hint="default" w:ascii="Times New Roman" w:hAnsi="Times New Roman" w:eastAsia="仿宋" w:cs="Times New Roman"/>
          <w:b/>
          <w:bCs/>
          <w:color w:val="000000" w:themeColor="text1"/>
          <w:kern w:val="2"/>
          <w:sz w:val="32"/>
          <w:szCs w:val="32"/>
          <w:vertAlign w:val="subscript"/>
          <w:lang w:val="en-US" w:eastAsia="zh-CN" w:bidi="ar-SA"/>
          <w14:textFill>
            <w14:solidFill>
              <w14:schemeClr w14:val="tx1"/>
            </w14:solidFill>
          </w14:textFill>
        </w:rPr>
        <w:t>10</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）年均浓度控制在96</w:t>
      </w:r>
      <w:r>
        <w:rPr>
          <w:rFonts w:hint="default" w:ascii="Times New Roman" w:hAnsi="Times New Roman" w:eastAsia="仿宋" w:cs="Times New Roman"/>
          <w:b w:val="0"/>
          <w:bCs w:val="0"/>
          <w:color w:val="000000" w:themeColor="text1"/>
          <w:spacing w:val="-34"/>
          <w:kern w:val="2"/>
          <w:sz w:val="32"/>
          <w:szCs w:val="32"/>
          <w:lang w:val="en-US" w:eastAsia="zh-CN" w:bidi="ar-SA"/>
          <w14:textFill>
            <w14:solidFill>
              <w14:schemeClr w14:val="tx1"/>
            </w14:solidFill>
          </w14:textFill>
        </w:rPr>
        <w:t>μg</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/m³以下，全县空气优良天数达到226天，持续改善空气质量。</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三是防范化解重大风险。</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加强对重大金融风险的排查监测预警，持续推进网络贷款、非法集资等专项整治；强化企业风险管控，积极稳妥化解部分企业流动性风险，营造良好金融生态。严格财政资金监管，牢固树立</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过紧日子</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思想，压减一般性支出；规范政府投资行为，有序化解地方政府隐性债务风险。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（六）突出社会民生改善，提高群众幸福指数。一是推进就业创业。</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继续开展</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大众创业、万众创新</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就业创业活动，城镇新增就业6600人，城镇失业人员再就业2300人，就业困难人员再就业580人，新增农村劳动力转移就业4000人，培训补贴性职业技能提升10000人次，城镇登记失业率控制在4%以内，加强创业孵化平台建设，发放创业担保贷款</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1.9亿</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元，确保更高质量</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的</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就业。</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二是加强社会保障。</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加大残疾人康复服务，全年救助残疾儿童不少于200人，</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基本</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达到应助尽助。加大</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全年</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减免</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中小微</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企业养老保险、失业保险、工伤保险力度，做好失业保险援企稳岗工作，为45家企业5913名职工提供基本保障；提高城乡低保对象、特困人员生活补助标准和退休人员基本养老金；建成2个规范化社区和3个社区日间照料中心，筑牢社会兜底最后一道防线。</w:t>
      </w:r>
      <w:r>
        <w:rPr>
          <w:rFonts w:hint="default" w:ascii="Times New Roman" w:hAnsi="Times New Roman" w:eastAsia="楷体" w:cs="Times New Roman"/>
          <w:b w:val="0"/>
          <w:bCs w:val="0"/>
          <w:color w:val="000000" w:themeColor="text1"/>
          <w:sz w:val="32"/>
          <w:szCs w:val="32"/>
          <w:shd w:val="clear" w:color="auto" w:fill="FFFFFF"/>
          <w:lang w:val="en-US" w:eastAsia="zh-CN"/>
          <w14:textFill>
            <w14:solidFill>
              <w14:schemeClr w14:val="tx1"/>
            </w14:solidFill>
          </w14:textFill>
        </w:rPr>
        <w:t>三是提升公共服务能力。</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扩充城镇教育资源，新高中、城西中学等6所学校建成投用，开工建设县九小、红旗路小学、机关四幼，改扩建县二实小、化肥厂学校、城关镇三中等6所学校，启动建设农村教师周转宿舍和保障性住房，争创国家级义务教育发展均衡县；深入开展与北师大合作，实现北师大挂牌招生，持续提升教育教学质量；加快建设县职业教育园区和双创基地，推动县职业教育学校升级为大专院校，进一步擦亮</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职教强县</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品牌。建成县中医院、</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县</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精神病医院</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县人民医院主体完工，持续提高卫生健康硬件水平；完善重大疫情防控救治体系，深化医共体合作，加快县域医疗健康信息平台建设，推进就医</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一卡通</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改革，进一步提升公共卫生服务能力。加快文化体育事业发展，市民健身中心及老干部活动中心、清和园足球场等项目年内建成投用，完成农家书屋图书更新配送、农村公益电影放映等工作。持续加快公共停车场建设，建立停车收费服务机制，切实改善停车难问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kern w:val="2"/>
          <w:sz w:val="30"/>
          <w:szCs w:val="30"/>
          <w:lang w:val="en-US" w:eastAsia="zh-CN" w:bidi="ar-SA"/>
          <w14:textFill>
            <w14:solidFill>
              <w14:schemeClr w14:val="tx1"/>
            </w14:solidFill>
          </w14:textFill>
        </w:rPr>
        <w:t>专栏5：2020年社会领域重大工程</w:t>
      </w:r>
    </w:p>
    <w:tbl>
      <w:tblPr>
        <w:tblStyle w:val="7"/>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94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994350592" behindDoc="0" locked="0" layoutInCell="1" allowOverlap="1">
                      <wp:simplePos x="0" y="0"/>
                      <wp:positionH relativeFrom="column">
                        <wp:posOffset>394970</wp:posOffset>
                      </wp:positionH>
                      <wp:positionV relativeFrom="paragraph">
                        <wp:posOffset>137795</wp:posOffset>
                      </wp:positionV>
                      <wp:extent cx="125730" cy="161925"/>
                      <wp:effectExtent l="5715" t="7620" r="20955" b="20955"/>
                      <wp:wrapNone/>
                      <wp:docPr id="34" name="菱形 34"/>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10.85pt;height:12.75pt;width:9.9pt;z-index:1994350592;v-text-anchor:middle;mso-width-relative:page;mso-height-relative:page;" filled="f" stroked="t" coordsize="21600,21600" o:gfxdata="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1Z5fNNYAAAAHAQAADwAAAAAA&#10;AAABACAAAAAiAAAAZHJzL2Rvd25yZXYueG1sUEsBAhQAFAAAAAgAh07iQOzko3tOAgAAgAQAAA4A&#10;AAAAAAAAAQAgAAAAJQ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社会保障完善工程：开工建设东北区敬老院、老年福利院项目。实施就业优先政策，新增城镇就业6600人、失业人员再就业2300人，新增农村劳动力转移就业4000人、农民工等人员返乡下乡创业2000人。</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3999417344" behindDoc="0" locked="0" layoutInCell="1" allowOverlap="1">
                      <wp:simplePos x="0" y="0"/>
                      <wp:positionH relativeFrom="column">
                        <wp:posOffset>394970</wp:posOffset>
                      </wp:positionH>
                      <wp:positionV relativeFrom="paragraph">
                        <wp:posOffset>134620</wp:posOffset>
                      </wp:positionV>
                      <wp:extent cx="125730" cy="161925"/>
                      <wp:effectExtent l="5715" t="7620" r="20955" b="20955"/>
                      <wp:wrapNone/>
                      <wp:docPr id="35" name="菱形 35"/>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10.6pt;height:12.75pt;width:9.9pt;z-index:-295549952;v-text-anchor:middle;mso-width-relative:page;mso-height-relative:page;" filled="f" stroked="t" coordsize="21600,21600" o:gfxdata="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DbLYo1gAAAAcBAAAPAAAA&#10;AAAAAAEAIAAAACIAAABkcnMvZG93bnJldi54bWxQSwECFAAUAAAACACHTuJAiwlxCFACAACABAAA&#10;DgAAAAAAAAABACAAAAAlAQAAZHJzL2Uyb0RvYy54bWxQSwUGAAAAAAYABgBZAQAA5wU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医疗惠民工程：加快建设</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县人民医院新院区、</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县妇幼保健院新院区、户部寨卫生院，建成中医院、精神病医院，进一步改善医疗卫生条件；持续提高城乡居民基本医保补助标准；康复救助残疾儿童200人以上。</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1709516800" behindDoc="0" locked="0" layoutInCell="1" allowOverlap="1">
                      <wp:simplePos x="0" y="0"/>
                      <wp:positionH relativeFrom="column">
                        <wp:posOffset>394970</wp:posOffset>
                      </wp:positionH>
                      <wp:positionV relativeFrom="paragraph">
                        <wp:posOffset>144145</wp:posOffset>
                      </wp:positionV>
                      <wp:extent cx="125730" cy="161925"/>
                      <wp:effectExtent l="5715" t="7620" r="20955" b="20955"/>
                      <wp:wrapNone/>
                      <wp:docPr id="36" name="菱形 36"/>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1pt;margin-top:11.35pt;height:12.75pt;width:9.9pt;z-index:1709516800;v-text-anchor:middle;mso-width-relative:page;mso-height-relative:page;" filled="f" stroked="t" coordsize="21600,21600" o:gfxdata="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pUgLNYAAAAHAQAADwAAAAAA&#10;AAABACAAAAAiAAAAZHJzL2Rvd25yZXYueG1sUEsBAhQAFAAAAAgAh07iQCI+BpxOAgAAgAQAAA4A&#10;AAAAAAAAAQAgAAAAJQEAAGRycy9lMm9Eb2MueG1sUEsFBgAAAAAGAAYAWQEAAOUFA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教育提质工程：新改建 10所幼儿园、增加学位900个</w:t>
            </w:r>
            <w:r>
              <w:rPr>
                <w:rFonts w:hint="eastAsia" w:ascii="Times New Roman" w:hAnsi="Times New Roman" w:eastAsia="仿宋" w:cs="Times New Roman"/>
                <w:b w:val="0"/>
                <w:bCs w:val="0"/>
                <w:color w:val="000000" w:themeColor="text1"/>
                <w:sz w:val="30"/>
                <w:szCs w:val="30"/>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新改建9所中小学、增加学位3240个；北师大濮阳学校挂牌招生。启动建设农村教师住房15万平方米、周转宿舍4200平方米，改善农村教师生活条件。</w:t>
            </w:r>
          </w:p>
          <w:p>
            <w:pPr>
              <w:keepNext w:val="0"/>
              <w:keepLines w:val="0"/>
              <w:pageBreakBefore w:val="0"/>
              <w:widowControl w:val="0"/>
              <w:kinsoku/>
              <w:wordWrap/>
              <w:overflowPunct/>
              <w:topLinePunct w:val="0"/>
              <w:autoSpaceDE/>
              <w:autoSpaceDN/>
              <w:bidi w:val="0"/>
              <w:adjustRightInd/>
              <w:snapToGrid/>
              <w:spacing w:line="560" w:lineRule="exact"/>
              <w:ind w:firstLine="900" w:firstLineChars="300"/>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eastAsia="仿宋" w:cs="Times New Roman"/>
                <w:color w:val="000000" w:themeColor="text1"/>
                <w:sz w:val="30"/>
                <w14:textFill>
                  <w14:solidFill>
                    <w14:schemeClr w14:val="tx1"/>
                  </w14:solidFill>
                </w14:textFill>
              </w:rPr>
              <mc:AlternateContent>
                <mc:Choice Requires="wps">
                  <w:drawing>
                    <wp:anchor distT="0" distB="0" distL="114300" distR="114300" simplePos="0" relativeHeight="855015424" behindDoc="0" locked="0" layoutInCell="1" allowOverlap="1">
                      <wp:simplePos x="0" y="0"/>
                      <wp:positionH relativeFrom="column">
                        <wp:posOffset>404495</wp:posOffset>
                      </wp:positionH>
                      <wp:positionV relativeFrom="paragraph">
                        <wp:posOffset>137795</wp:posOffset>
                      </wp:positionV>
                      <wp:extent cx="125730" cy="161925"/>
                      <wp:effectExtent l="5715" t="7620" r="20955" b="20955"/>
                      <wp:wrapNone/>
                      <wp:docPr id="42" name="菱形 42"/>
                      <wp:cNvGraphicFramePr/>
                      <a:graphic xmlns:a="http://schemas.openxmlformats.org/drawingml/2006/main">
                        <a:graphicData uri="http://schemas.microsoft.com/office/word/2010/wordprocessingShape">
                          <wps:wsp>
                            <wps:cNvSpPr/>
                            <wps:spPr>
                              <a:xfrm>
                                <a:off x="0" y="0"/>
                                <a:ext cx="125730" cy="161925"/>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1.85pt;margin-top:10.85pt;height:12.75pt;width:9.9pt;z-index:855015424;v-text-anchor:middle;mso-width-relative:page;mso-height-relative:page;" filled="f" stroked="t" coordsize="21600,21600" o:gfxdata="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gAIpDXAAAABwEAAA8AAAAA&#10;AAAAAQAgAAAAIgAAAGRycy9kb3ducmV2LnhtbFBLAQIUABQAAAAIAIdO4kBeddTfTgIAAIAEAAAO&#10;AAAAAAAAAAEAIAAAACYBAABkcnMvZTJvRG9jLnhtbFBLBQYAAAAABgAGAFkBAADmBQAAAAA=&#10;">
                      <v:fill on="f" focussize="0,0"/>
                      <v:stroke weight="0.5pt" color="#000000 [3213]" miterlimit="8" joinstyle="miter"/>
                      <v:imagedata o:title=""/>
                      <o:lock v:ext="edit" aspectratio="f"/>
                    </v:shape>
                  </w:pict>
                </mc:Fallback>
              </mc:AlternateContent>
            </w:r>
            <w:r>
              <w:rPr>
                <w:rFonts w:hint="default" w:ascii="Times New Roman" w:hAnsi="Times New Roman" w:eastAsia="仿宋" w:cs="Times New Roman"/>
                <w:b w:val="0"/>
                <w:bCs w:val="0"/>
                <w:color w:val="000000" w:themeColor="text1"/>
                <w:sz w:val="30"/>
                <w:szCs w:val="30"/>
                <w:lang w:val="en-US" w:eastAsia="zh-CN"/>
                <w14:textFill>
                  <w14:solidFill>
                    <w14:schemeClr w14:val="tx1"/>
                  </w14:solidFill>
                </w14:textFill>
              </w:rPr>
              <w:t>全民健身促进工程：建设市民健身中心，新建4个游园、3个足球场，推动全民健身运动。</w:t>
            </w:r>
          </w:p>
        </w:tc>
      </w:tr>
    </w:tbl>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eastAsia="仿宋" w:cs="Times New Roman"/>
          <w:b w:val="0"/>
          <w:bCs w:val="0"/>
          <w:color w:val="000000" w:themeColor="text1"/>
          <w:kern w:val="2"/>
          <w:sz w:val="32"/>
          <w:szCs w:val="32"/>
          <w:lang w:val="en-US" w:eastAsia="zh-CN" w:bidi="ar-SA"/>
          <w14:textFill>
            <w14:solidFill>
              <w14:schemeClr w14:val="tx1"/>
            </w14:solidFill>
          </w14:textFill>
        </w:rPr>
        <w:t>各位代表，2</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020年以来，</w:t>
      </w:r>
      <w:r>
        <w:rPr>
          <w:rFonts w:hint="eastAsia" w:eastAsia="仿宋" w:cs="Times New Roman"/>
          <w:b w:val="0"/>
          <w:bCs w:val="0"/>
          <w:color w:val="000000" w:themeColor="text1"/>
          <w:kern w:val="2"/>
          <w:sz w:val="32"/>
          <w:szCs w:val="32"/>
          <w:lang w:val="en-US" w:eastAsia="zh-CN" w:bidi="ar-SA"/>
          <w14:textFill>
            <w14:solidFill>
              <w14:schemeClr w14:val="tx1"/>
            </w14:solidFill>
          </w14:textFill>
        </w:rPr>
        <w:t>全县上下在县委的坚强领导下，认真学习贯彻习近平总书记关于疫情防控的重要讲话和重要指示精神，取得了百万人口大县“零确诊”的防控成绩。同时，统筹推进疫情防控和经济社会发展，推动企业科学有序复工复产，社会生产生活秩序加速恢复。但是防范疫情反弹任务仍然艰巨繁重，必须在疫情防控常态化前提下，持续抓紧抓实抓细外防输入、内防反弹工作，</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有力有序做好“六稳”“六保”工作，切实维护经济发展和社会稳定大局</w:t>
      </w:r>
      <w:r>
        <w:rPr>
          <w:rFonts w:hint="eastAsia" w:eastAsia="仿宋" w:cs="Times New Roman"/>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各位代表，实现2020年经济社会发展目标，任务艰巨、意义重大。新征程既有机遇又有挑战，新目标更需要一起拼搏，一起奋斗！我们将在县委的正确领导下，在县人大的监督指导下，积极听取县政协意见建议，不忘初心、牢记使命，求真务实、开拓创新，奋力开创濮阳县高质量发展新局面！</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p>
    <w:p>
      <w:pP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p>
    <w:p>
      <w:pPr>
        <w:pStyle w:val="2"/>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p>
    <w:p>
      <w:pP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p>
    <w:p>
      <w:pPr>
        <w:pStyle w:val="2"/>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p>
    <w:p>
      <w:pP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p>
    <w:p>
      <w:pPr>
        <w:pStyle w:val="2"/>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p>
    <w:p>
      <w:pP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p>
    <w:p>
      <w:pPr>
        <w:pStyle w:val="2"/>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p>
    <w:p>
      <w:pPr>
        <w:rPr>
          <w:rFonts w:hint="default"/>
          <w:lang w:val="en-US" w:eastAsia="zh-CN"/>
        </w:rPr>
      </w:pPr>
    </w:p>
    <w:p>
      <w:pPr>
        <w:rPr>
          <w:rFonts w:hint="eastAsia"/>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313" w:afterLines="100" w:line="600" w:lineRule="exact"/>
        <w:jc w:val="center"/>
        <w:textAlignment w:val="auto"/>
        <w:rPr>
          <w:rFonts w:hint="default"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濮阳县</w:t>
      </w:r>
      <w:r>
        <w:rPr>
          <w:rFonts w:ascii="方正小标宋简体" w:hAnsi="方正小标宋简体" w:eastAsia="方正小标宋简体" w:cs="方正小标宋简体"/>
          <w:color w:val="000000" w:themeColor="text1"/>
          <w:kern w:val="0"/>
          <w:sz w:val="40"/>
          <w:szCs w:val="40"/>
          <w14:textFill>
            <w14:solidFill>
              <w14:schemeClr w14:val="tx1"/>
            </w14:solidFill>
          </w14:textFill>
        </w:rPr>
        <w:t>2019</w:t>
      </w:r>
      <w:r>
        <w:rPr>
          <w:rFonts w:hint="eastAsia" w:ascii="方正小标宋简体" w:hAnsi="方正小标宋简体" w:eastAsia="方正小标宋简体" w:cs="方正小标宋简体"/>
          <w:color w:val="000000" w:themeColor="text1"/>
          <w:kern w:val="0"/>
          <w:sz w:val="40"/>
          <w:szCs w:val="40"/>
          <w14:textFill>
            <w14:solidFill>
              <w14:schemeClr w14:val="tx1"/>
            </w14:solidFill>
          </w14:textFill>
        </w:rPr>
        <w:t>年主要指标</w:t>
      </w:r>
      <w:r>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t>完成情况</w:t>
      </w:r>
    </w:p>
    <w:tbl>
      <w:tblPr>
        <w:tblStyle w:val="7"/>
        <w:tblpPr w:leftFromText="180" w:rightFromText="180" w:vertAnchor="text" w:horzAnchor="page" w:tblpX="1610" w:tblpY="73"/>
        <w:tblOverlap w:val="never"/>
        <w:tblW w:w="9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805"/>
        <w:gridCol w:w="810"/>
        <w:gridCol w:w="1140"/>
        <w:gridCol w:w="66"/>
        <w:gridCol w:w="1074"/>
        <w:gridCol w:w="118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7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序号</w:t>
            </w:r>
          </w:p>
        </w:tc>
        <w:tc>
          <w:tcPr>
            <w:tcW w:w="28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指</w:t>
            </w:r>
            <w:r>
              <w:rPr>
                <w:rFonts w:ascii="方正黑体简体" w:hAnsi="方正黑体简体" w:eastAsia="方正黑体简体" w:cs="方正黑体简体"/>
                <w:color w:val="000000" w:themeColor="text1"/>
                <w:kern w:val="0"/>
                <w:sz w:val="24"/>
                <w14:textFill>
                  <w14:solidFill>
                    <w14:schemeClr w14:val="tx1"/>
                  </w14:solidFill>
                </w14:textFill>
              </w:rPr>
              <w:t xml:space="preserve">  </w:t>
            </w:r>
            <w:r>
              <w:rPr>
                <w:rFonts w:hint="eastAsia" w:ascii="方正黑体简体" w:hAnsi="方正黑体简体" w:eastAsia="方正黑体简体" w:cs="方正黑体简体"/>
                <w:color w:val="000000" w:themeColor="text1"/>
                <w:kern w:val="0"/>
                <w:sz w:val="24"/>
                <w14:textFill>
                  <w14:solidFill>
                    <w14:schemeClr w14:val="tx1"/>
                  </w14:solidFill>
                </w14:textFill>
              </w:rPr>
              <w:t>标</w:t>
            </w:r>
            <w:r>
              <w:rPr>
                <w:rFonts w:ascii="方正黑体简体" w:hAnsi="方正黑体简体" w:eastAsia="方正黑体简体" w:cs="方正黑体简体"/>
                <w:color w:val="000000" w:themeColor="text1"/>
                <w:kern w:val="0"/>
                <w:sz w:val="24"/>
                <w14:textFill>
                  <w14:solidFill>
                    <w14:schemeClr w14:val="tx1"/>
                  </w14:solidFill>
                </w14:textFill>
              </w:rPr>
              <w:t xml:space="preserve">  </w:t>
            </w:r>
            <w:r>
              <w:rPr>
                <w:rFonts w:hint="eastAsia" w:ascii="方正黑体简体" w:hAnsi="方正黑体简体" w:eastAsia="方正黑体简体" w:cs="方正黑体简体"/>
                <w:color w:val="000000" w:themeColor="text1"/>
                <w:kern w:val="0"/>
                <w:sz w:val="24"/>
                <w14:textFill>
                  <w14:solidFill>
                    <w14:schemeClr w14:val="tx1"/>
                  </w14:solidFill>
                </w14:textFill>
              </w:rPr>
              <w:t>名</w:t>
            </w:r>
            <w:r>
              <w:rPr>
                <w:rFonts w:ascii="方正黑体简体" w:hAnsi="方正黑体简体" w:eastAsia="方正黑体简体" w:cs="方正黑体简体"/>
                <w:color w:val="000000" w:themeColor="text1"/>
                <w:kern w:val="0"/>
                <w:sz w:val="24"/>
                <w14:textFill>
                  <w14:solidFill>
                    <w14:schemeClr w14:val="tx1"/>
                  </w14:solidFill>
                </w14:textFill>
              </w:rPr>
              <w:t xml:space="preserve">  </w:t>
            </w:r>
            <w:r>
              <w:rPr>
                <w:rFonts w:hint="eastAsia" w:ascii="方正黑体简体" w:hAnsi="方正黑体简体" w:eastAsia="方正黑体简体" w:cs="方正黑体简体"/>
                <w:color w:val="000000" w:themeColor="text1"/>
                <w:kern w:val="0"/>
                <w:sz w:val="24"/>
                <w14:textFill>
                  <w14:solidFill>
                    <w14:schemeClr w14:val="tx1"/>
                  </w14:solidFill>
                </w14:textFill>
              </w:rPr>
              <w:t>称</w:t>
            </w: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单位</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简体" w:hAnsi="方正黑体简体" w:eastAsia="方正黑体简体" w:cs="方正黑体简体"/>
                <w:color w:val="000000" w:themeColor="text1"/>
                <w:kern w:val="0"/>
                <w:sz w:val="24"/>
                <w:lang w:eastAsia="zh-CN"/>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201</w:t>
            </w:r>
            <w:r>
              <w:rPr>
                <w:rFonts w:hint="eastAsia" w:ascii="方正黑体简体" w:hAnsi="方正黑体简体" w:eastAsia="方正黑体简体" w:cs="方正黑体简体"/>
                <w:color w:val="000000" w:themeColor="text1"/>
                <w:kern w:val="0"/>
                <w:sz w:val="24"/>
                <w:lang w:val="en-US" w:eastAsia="zh-CN"/>
                <w14:textFill>
                  <w14:solidFill>
                    <w14:schemeClr w14:val="tx1"/>
                  </w14:solidFill>
                </w14:textFill>
              </w:rPr>
              <w:t>9</w:t>
            </w:r>
            <w:r>
              <w:rPr>
                <w:rFonts w:hint="eastAsia" w:ascii="方正黑体简体" w:hAnsi="方正黑体简体" w:eastAsia="方正黑体简体" w:cs="方正黑体简体"/>
                <w:color w:val="000000" w:themeColor="text1"/>
                <w:kern w:val="0"/>
                <w:sz w:val="24"/>
                <w14:textFill>
                  <w14:solidFill>
                    <w14:schemeClr w14:val="tx1"/>
                  </w14:solidFill>
                </w14:textFill>
              </w:rPr>
              <w:t>年</w:t>
            </w:r>
            <w:r>
              <w:rPr>
                <w:rFonts w:hint="eastAsia" w:ascii="方正黑体简体" w:hAnsi="方正黑体简体" w:eastAsia="方正黑体简体" w:cs="方正黑体简体"/>
                <w:color w:val="000000" w:themeColor="text1"/>
                <w:kern w:val="0"/>
                <w:sz w:val="24"/>
                <w:lang w:val="en-US" w:eastAsia="zh-CN"/>
                <w14:textFill>
                  <w14:solidFill>
                    <w14:schemeClr w14:val="tx1"/>
                  </w14:solidFill>
                </w14:textFill>
              </w:rPr>
              <w:t>计划</w:t>
            </w:r>
          </w:p>
        </w:tc>
        <w:tc>
          <w:tcPr>
            <w:tcW w:w="25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简体" w:hAnsi="方正黑体简体" w:eastAsia="方正黑体简体" w:cs="方正黑体简体"/>
                <w:color w:val="000000" w:themeColor="text1"/>
                <w:kern w:val="0"/>
                <w:sz w:val="24"/>
                <w:lang w:eastAsia="zh-CN"/>
                <w14:textFill>
                  <w14:solidFill>
                    <w14:schemeClr w14:val="tx1"/>
                  </w14:solidFill>
                </w14:textFill>
              </w:rPr>
            </w:pPr>
            <w:r>
              <w:rPr>
                <w:rFonts w:ascii="方正黑体简体" w:hAnsi="方正黑体简体" w:eastAsia="方正黑体简体" w:cs="方正黑体简体"/>
                <w:color w:val="000000" w:themeColor="text1"/>
                <w:kern w:val="0"/>
                <w:sz w:val="24"/>
                <w14:textFill>
                  <w14:solidFill>
                    <w14:schemeClr w14:val="tx1"/>
                  </w14:solidFill>
                </w14:textFill>
              </w:rPr>
              <w:t>2019</w:t>
            </w:r>
            <w:r>
              <w:rPr>
                <w:rFonts w:hint="eastAsia" w:ascii="方正黑体简体" w:hAnsi="方正黑体简体" w:eastAsia="方正黑体简体" w:cs="方正黑体简体"/>
                <w:color w:val="000000" w:themeColor="text1"/>
                <w:kern w:val="0"/>
                <w:sz w:val="24"/>
                <w14:textFill>
                  <w14:solidFill>
                    <w14:schemeClr w14:val="tx1"/>
                  </w14:solidFill>
                </w14:textFill>
              </w:rPr>
              <w:t>年</w:t>
            </w:r>
            <w:r>
              <w:rPr>
                <w:rFonts w:hint="eastAsia" w:ascii="方正黑体简体" w:hAnsi="方正黑体简体" w:eastAsia="方正黑体简体" w:cs="方正黑体简体"/>
                <w:color w:val="000000" w:themeColor="text1"/>
                <w:kern w:val="0"/>
                <w:sz w:val="24"/>
                <w:lang w:val="en-US" w:eastAsia="zh-CN"/>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方正黑体简体" w:hAnsi="方正黑体简体" w:eastAsia="方正黑体简体" w:cs="方正黑体简体"/>
                <w:color w:val="000000" w:themeColor="text1"/>
                <w:kern w:val="0"/>
                <w:sz w:val="24"/>
                <w14:textFill>
                  <w14:solidFill>
                    <w14:schemeClr w14:val="tx1"/>
                  </w14:solidFill>
                </w14:textFill>
              </w:rPr>
            </w:pPr>
          </w:p>
        </w:tc>
        <w:tc>
          <w:tcPr>
            <w:tcW w:w="28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方正黑体简体" w:hAnsi="方正黑体简体" w:eastAsia="方正黑体简体" w:cs="方正黑体简体"/>
                <w:color w:val="000000" w:themeColor="text1"/>
                <w:kern w:val="0"/>
                <w:sz w:val="24"/>
                <w14:textFill>
                  <w14:solidFill>
                    <w14:schemeClr w14:val="tx1"/>
                  </w14:solidFill>
                </w14:textFill>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方正黑体简体" w:hAnsi="方正黑体简体" w:eastAsia="方正黑体简体" w:cs="方正黑体简体"/>
                <w:color w:val="000000" w:themeColor="text1"/>
                <w:kern w:val="0"/>
                <w:sz w:val="24"/>
                <w14:textFill>
                  <w14:solidFill>
                    <w14:schemeClr w14:val="tx1"/>
                  </w14:solidFill>
                </w14:textFill>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绝对值</w:t>
            </w:r>
          </w:p>
        </w:tc>
        <w:tc>
          <w:tcPr>
            <w:tcW w:w="11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spacing w:val="0"/>
                <w:kern w:val="0"/>
                <w:sz w:val="24"/>
                <w14:textFill>
                  <w14:solidFill>
                    <w14:schemeClr w14:val="tx1"/>
                  </w14:solidFill>
                </w14:textFill>
              </w:rPr>
              <w:t>增长</w:t>
            </w:r>
            <w:r>
              <w:rPr>
                <w:rFonts w:hint="eastAsia" w:ascii="方正黑体简体" w:hAnsi="方正黑体简体" w:eastAsia="方正黑体简体" w:cs="方正黑体简体"/>
                <w:color w:val="000000" w:themeColor="text1"/>
                <w:spacing w:val="-20"/>
                <w:kern w:val="0"/>
                <w:sz w:val="24"/>
                <w14:textFill>
                  <w14:solidFill>
                    <w14:schemeClr w14:val="tx1"/>
                  </w14:solidFill>
                </w14:textFill>
              </w:rPr>
              <w:t>（</w:t>
            </w:r>
            <w:r>
              <w:rPr>
                <w:rFonts w:ascii="方正黑体简体" w:hAnsi="方正黑体简体" w:eastAsia="方正黑体简体" w:cs="方正黑体简体"/>
                <w:color w:val="000000" w:themeColor="text1"/>
                <w:spacing w:val="-20"/>
                <w:kern w:val="0"/>
                <w:sz w:val="24"/>
                <w14:textFill>
                  <w14:solidFill>
                    <w14:schemeClr w14:val="tx1"/>
                  </w14:solidFill>
                </w14:textFill>
              </w:rPr>
              <w:t>%</w:t>
            </w:r>
            <w:r>
              <w:rPr>
                <w:rFonts w:hint="eastAsia" w:ascii="方正黑体简体" w:hAnsi="方正黑体简体" w:eastAsia="方正黑体简体" w:cs="方正黑体简体"/>
                <w:color w:val="000000" w:themeColor="text1"/>
                <w:spacing w:val="-20"/>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绝对值</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黑体简体" w:hAnsi="方正黑体简体" w:eastAsia="方正黑体简体" w:cs="方正黑体简体"/>
                <w:color w:val="000000" w:themeColor="text1"/>
                <w:kern w:val="0"/>
                <w:sz w:val="24"/>
                <w14:textFill>
                  <w14:solidFill>
                    <w14:schemeClr w14:val="tx1"/>
                  </w14:solidFill>
                </w14:textFill>
              </w:rPr>
            </w:pPr>
            <w:r>
              <w:rPr>
                <w:rFonts w:hint="eastAsia" w:ascii="方正黑体简体" w:hAnsi="方正黑体简体" w:eastAsia="方正黑体简体" w:cs="方正黑体简体"/>
                <w:color w:val="000000" w:themeColor="text1"/>
                <w:kern w:val="0"/>
                <w:sz w:val="24"/>
                <w14:textFill>
                  <w14:solidFill>
                    <w14:schemeClr w14:val="tx1"/>
                  </w14:solidFill>
                </w14:textFill>
              </w:rPr>
              <w:t>增长（</w:t>
            </w:r>
            <w:r>
              <w:rPr>
                <w:rFonts w:ascii="方正黑体简体" w:hAnsi="方正黑体简体" w:eastAsia="方正黑体简体" w:cs="方正黑体简体"/>
                <w:color w:val="000000" w:themeColor="text1"/>
                <w:kern w:val="0"/>
                <w:sz w:val="24"/>
                <w14:textFill>
                  <w14:solidFill>
                    <w14:schemeClr w14:val="tx1"/>
                  </w14:solidFill>
                </w14:textFill>
              </w:rPr>
              <w:t>%</w:t>
            </w:r>
            <w:r>
              <w:rPr>
                <w:rFonts w:hint="eastAsia" w:ascii="方正黑体简体" w:hAnsi="方正黑体简体" w:eastAsia="方正黑体简体" w:cs="方正黑体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2"/>
                <w:szCs w:val="22"/>
                <w14:textFill>
                  <w14:solidFill>
                    <w14:schemeClr w14:val="tx1"/>
                  </w14:solidFill>
                </w14:textFill>
              </w:rPr>
            </w:pP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b/>
                <w:bCs/>
                <w:color w:val="000000" w:themeColor="text1"/>
                <w:kern w:val="0"/>
                <w:sz w:val="22"/>
                <w:szCs w:val="22"/>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一、综合类</w:t>
            </w:r>
          </w:p>
        </w:tc>
        <w:tc>
          <w:tcPr>
            <w:tcW w:w="559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地区生产总值</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r>
              <w:rPr>
                <w:rFonts w:hint="eastAsia" w:ascii="Times New Roman" w:hAnsi="Times New Roman" w:eastAsia="楷体"/>
                <w:color w:val="000000" w:themeColor="text1"/>
                <w:kern w:val="0"/>
                <w:sz w:val="24"/>
                <w14:textFill>
                  <w14:solidFill>
                    <w14:schemeClr w14:val="tx1"/>
                  </w14:solidFill>
                </w14:textFill>
              </w:rPr>
              <w:t>亿元</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7-7.5</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263.9</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全员劳动生产率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r>
              <w:rPr>
                <w:rFonts w:hint="eastAsia" w:ascii="Times New Roman" w:hAnsi="Times New Roman" w:eastAsia="楷体"/>
                <w:color w:val="000000" w:themeColor="text1"/>
                <w:kern w:val="0"/>
                <w:sz w:val="24"/>
                <w14:textFill>
                  <w14:solidFill>
                    <w14:schemeClr w14:val="tx1"/>
                  </w14:solidFill>
                </w14:textFill>
              </w:rPr>
              <w:t>元</w:t>
            </w:r>
            <w:r>
              <w:rPr>
                <w:rFonts w:ascii="Times New Roman" w:hAnsi="Times New Roman" w:eastAsia="楷体"/>
                <w:color w:val="000000" w:themeColor="text1"/>
                <w:kern w:val="0"/>
                <w:sz w:val="24"/>
                <w14:textFill>
                  <w14:solidFill>
                    <w14:schemeClr w14:val="tx1"/>
                  </w14:solidFill>
                </w14:textFill>
              </w:rPr>
              <w:t>/</w:t>
            </w:r>
            <w:r>
              <w:rPr>
                <w:rFonts w:hint="eastAsia" w:ascii="Times New Roman" w:hAnsi="Times New Roman" w:eastAsia="楷体"/>
                <w:color w:val="000000" w:themeColor="text1"/>
                <w:kern w:val="0"/>
                <w:sz w:val="24"/>
                <w14:textFill>
                  <w14:solidFill>
                    <w14:schemeClr w14:val="tx1"/>
                  </w14:solidFill>
                </w14:textFill>
              </w:rPr>
              <w:t>人</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7</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3</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固定资产投资</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r>
              <w:rPr>
                <w:rFonts w:hint="eastAsia" w:ascii="Times New Roman" w:hAnsi="Times New Roman" w:eastAsia="楷体"/>
                <w:color w:val="000000" w:themeColor="text1"/>
                <w:kern w:val="0"/>
                <w:sz w:val="24"/>
                <w14:textFill>
                  <w14:solidFill>
                    <w14:schemeClr w14:val="tx1"/>
                  </w14:solidFill>
                </w14:textFill>
              </w:rPr>
              <w:t>亿元</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12</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4</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一般公共预算收入</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r>
              <w:rPr>
                <w:rFonts w:hint="eastAsia" w:ascii="Times New Roman" w:hAnsi="Times New Roman" w:eastAsia="楷体"/>
                <w:color w:val="000000" w:themeColor="text1"/>
                <w:kern w:val="0"/>
                <w:sz w:val="24"/>
                <w14:textFill>
                  <w14:solidFill>
                    <w14:schemeClr w14:val="tx1"/>
                  </w14:solidFill>
                </w14:textFill>
              </w:rPr>
              <w:t>亿元</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15.06</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w:t>
            </w:r>
            <w:r>
              <w:rPr>
                <w:rFonts w:hint="eastAsia" w:ascii="Times New Roman" w:hAnsi="Times New Roman" w:eastAsia="方正仿宋简体"/>
                <w:color w:val="000000" w:themeColor="text1"/>
                <w:kern w:val="0"/>
                <w:sz w:val="24"/>
                <w:lang w:val="en-US" w:eastAsia="zh-CN"/>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5</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税收占一般公共预算收入比重</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r>
              <w:rPr>
                <w:rFonts w:ascii="Times New Roman" w:hAnsi="Times New Roman" w:eastAsia="楷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75</w:t>
            </w:r>
            <w:r>
              <w:rPr>
                <w:rFonts w:hint="eastAsia" w:ascii="楷体" w:hAnsi="楷体" w:eastAsia="楷体" w:cs="楷体"/>
                <w:color w:val="000000" w:themeColor="text1"/>
                <w:kern w:val="0"/>
                <w:sz w:val="24"/>
                <w14:textFill>
                  <w14:solidFill>
                    <w14:schemeClr w14:val="tx1"/>
                  </w14:solidFill>
                </w14:textFill>
              </w:rPr>
              <w:t>以上</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77.2</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6</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规模以上工业增加值</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r>
              <w:rPr>
                <w:rFonts w:hint="eastAsia" w:ascii="Times New Roman" w:hAnsi="Times New Roman" w:eastAsia="楷体"/>
                <w:color w:val="000000" w:themeColor="text1"/>
                <w:kern w:val="0"/>
                <w:sz w:val="24"/>
                <w14:textFill>
                  <w14:solidFill>
                    <w14:schemeClr w14:val="tx1"/>
                  </w14:solidFill>
                </w14:textFill>
              </w:rPr>
              <w:t>亿元</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9</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7</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社会消费品零售总额</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r>
              <w:rPr>
                <w:rFonts w:hint="eastAsia" w:ascii="Times New Roman" w:hAnsi="Times New Roman" w:eastAsia="楷体"/>
                <w:color w:val="000000" w:themeColor="text1"/>
                <w:kern w:val="0"/>
                <w:sz w:val="24"/>
                <w14:textFill>
                  <w14:solidFill>
                    <w14:schemeClr w14:val="tx1"/>
                  </w14:solidFill>
                </w14:textFill>
              </w:rPr>
              <w:t>亿元</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w:t>
            </w:r>
            <w:r>
              <w:rPr>
                <w:rFonts w:hint="eastAsia" w:ascii="Times New Roman" w:hAnsi="Times New Roman" w:eastAsia="方正仿宋简体"/>
                <w:color w:val="000000" w:themeColor="text1"/>
                <w:kern w:val="0"/>
                <w:sz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8</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Times New Roman" w:hAnsi="Times New Roman" w:eastAsia="楷体"/>
                <w:color w:val="000000" w:themeColor="text1"/>
                <w:kern w:val="0"/>
                <w:sz w:val="24"/>
                <w14:textFill>
                  <w14:solidFill>
                    <w14:schemeClr w14:val="tx1"/>
                  </w14:solidFill>
                </w14:textFill>
              </w:rPr>
              <w:t>居民消费价格指数（上年</w:t>
            </w:r>
            <w:r>
              <w:rPr>
                <w:rFonts w:ascii="Times New Roman" w:hAnsi="Times New Roman" w:eastAsia="楷体"/>
                <w:color w:val="000000" w:themeColor="text1"/>
                <w:kern w:val="0"/>
                <w:sz w:val="24"/>
                <w14:textFill>
                  <w14:solidFill>
                    <w14:schemeClr w14:val="tx1"/>
                  </w14:solidFill>
                </w14:textFill>
              </w:rPr>
              <w:t>=100</w:t>
            </w:r>
            <w:r>
              <w:rPr>
                <w:rFonts w:hint="eastAsia" w:ascii="Times New Roman" w:hAnsi="Times New Roman" w:eastAsia="楷体"/>
                <w:color w:val="000000" w:themeColor="text1"/>
                <w:kern w:val="0"/>
                <w:sz w:val="24"/>
                <w14:textFill>
                  <w14:solidFill>
                    <w14:schemeClr w14:val="tx1"/>
                  </w14:solidFill>
                </w14:textFill>
              </w:rPr>
              <w:t>）</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103</w:t>
            </w:r>
            <w:r>
              <w:rPr>
                <w:rFonts w:hint="eastAsia" w:ascii="楷体" w:hAnsi="楷体" w:eastAsia="楷体" w:cs="楷体"/>
                <w:color w:val="000000" w:themeColor="text1"/>
                <w:kern w:val="0"/>
                <w:sz w:val="24"/>
                <w14:textFill>
                  <w14:solidFill>
                    <w14:schemeClr w14:val="tx1"/>
                  </w14:solidFill>
                </w14:textFill>
              </w:rPr>
              <w:t>以内</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w:t>
            </w:r>
            <w:r>
              <w:rPr>
                <w:rFonts w:hint="eastAsia" w:ascii="Times New Roman" w:hAnsi="Times New Roman" w:eastAsia="方正仿宋简体"/>
                <w:color w:val="000000" w:themeColor="text1"/>
                <w:kern w:val="0"/>
                <w:sz w:val="24"/>
                <w:lang w:val="en-US" w:eastAsia="zh-CN"/>
                <w14:textFill>
                  <w14:solidFill>
                    <w14:schemeClr w14:val="tx1"/>
                  </w14:solidFill>
                </w14:textFill>
              </w:rPr>
              <w:t>3.4</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4"/>
                <w14:textFill>
                  <w14:solidFill>
                    <w14:schemeClr w14:val="tx1"/>
                  </w14:solidFill>
                </w14:textFill>
              </w:rPr>
            </w:pP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themeColor="text1"/>
                <w:kern w:val="0"/>
                <w:sz w:val="24"/>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二、创新发展</w:t>
            </w:r>
          </w:p>
        </w:tc>
        <w:tc>
          <w:tcPr>
            <w:tcW w:w="559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9</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研究与试验发展经费投入强度</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简体"/>
                <w:color w:val="000000" w:themeColor="text1"/>
                <w:kern w:val="0"/>
                <w:sz w:val="24"/>
                <w:lang w:eastAsia="zh-CN"/>
                <w14:textFill>
                  <w14:solidFill>
                    <w14:schemeClr w14:val="tx1"/>
                  </w14:solidFill>
                </w14:textFill>
              </w:rPr>
            </w:pPr>
            <w:r>
              <w:rPr>
                <w:rFonts w:hint="eastAsia" w:ascii="Times New Roman" w:hAnsi="Times New Roman" w:eastAsia="方正仿宋简体"/>
                <w:color w:val="000000" w:themeColor="text1"/>
                <w:kern w:val="0"/>
                <w:sz w:val="24"/>
                <w:lang w:eastAsia="zh-CN"/>
                <w14:textFill>
                  <w14:solidFill>
                    <w14:schemeClr w14:val="tx1"/>
                  </w14:solidFill>
                </w14:textFill>
              </w:rPr>
              <w:t>—</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高技术产业增加值比重</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进一步提升</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4.08</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楷体" w:hAnsi="楷体" w:eastAsia="楷体" w:cs="楷体"/>
                <w:color w:val="000000" w:themeColor="text1"/>
                <w:kern w:val="0"/>
                <w:sz w:val="24"/>
                <w:lang w:val="en-US" w:eastAsia="zh-CN"/>
                <w14:textFill>
                  <w14:solidFill>
                    <w14:schemeClr w14:val="tx1"/>
                  </w14:solidFill>
                </w14:textFill>
              </w:rPr>
            </w:pPr>
            <w:r>
              <w:rPr>
                <w:rFonts w:hint="eastAsia" w:ascii="楷体" w:hAnsi="楷体" w:eastAsia="楷体" w:cs="楷体"/>
                <w:color w:val="000000" w:themeColor="text1"/>
                <w:kern w:val="0"/>
                <w:sz w:val="24"/>
                <w:lang w:val="en-US" w:eastAsia="zh-CN"/>
                <w14:textFill>
                  <w14:solidFill>
                    <w14:schemeClr w14:val="tx1"/>
                  </w14:solidFill>
                </w14:textFill>
              </w:rPr>
              <w:t>全市第一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战略性新兴产业增加值</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进一步提升</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16.7</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楷体" w:hAnsi="楷体" w:eastAsia="楷体" w:cs="楷体"/>
                <w:color w:val="000000" w:themeColor="text1"/>
                <w:kern w:val="0"/>
                <w:sz w:val="24"/>
                <w:lang w:val="en-US" w:eastAsia="zh-CN"/>
                <w14:textFill>
                  <w14:solidFill>
                    <w14:schemeClr w14:val="tx1"/>
                  </w14:solidFill>
                </w14:textFill>
              </w:rPr>
            </w:pPr>
            <w:r>
              <w:rPr>
                <w:rFonts w:hint="eastAsia" w:ascii="楷体" w:hAnsi="楷体" w:eastAsia="楷体" w:cs="楷体"/>
                <w:color w:val="000000" w:themeColor="text1"/>
                <w:kern w:val="0"/>
                <w:sz w:val="24"/>
                <w:lang w:val="en-US" w:eastAsia="zh-CN"/>
                <w14:textFill>
                  <w14:solidFill>
                    <w14:schemeClr w14:val="tx1"/>
                  </w14:solidFill>
                </w14:textFill>
              </w:rPr>
              <w:t>全市第一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4"/>
                <w14:textFill>
                  <w14:solidFill>
                    <w14:schemeClr w14:val="tx1"/>
                  </w14:solidFill>
                </w14:textFill>
              </w:rPr>
            </w:pP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color w:val="000000" w:themeColor="text1"/>
                <w:kern w:val="0"/>
                <w:sz w:val="24"/>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三、协调发展</w:t>
            </w:r>
          </w:p>
        </w:tc>
        <w:tc>
          <w:tcPr>
            <w:tcW w:w="559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12</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常住人口城镇化率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42.27</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3.1</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43.81</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13</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九年义务教育巩固率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95</w:t>
            </w:r>
            <w:r>
              <w:rPr>
                <w:rFonts w:hint="eastAsia" w:ascii="楷体" w:hAnsi="楷体" w:eastAsia="楷体" w:cs="楷体"/>
                <w:color w:val="000000" w:themeColor="text1"/>
                <w:kern w:val="0"/>
                <w:sz w:val="24"/>
                <w14:textFill>
                  <w14:solidFill>
                    <w14:schemeClr w14:val="tx1"/>
                  </w14:solidFill>
                </w14:textFill>
              </w:rPr>
              <w:t>以上</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14</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流转农村土地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万亩</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20</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11</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15</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新增注册物流业企业</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个</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w:t>
            </w:r>
            <w:r>
              <w:rPr>
                <w:rFonts w:hint="eastAsia" w:ascii="楷体" w:hAnsi="楷体" w:eastAsia="楷体" w:cs="楷体"/>
                <w:color w:val="000000" w:themeColor="text1"/>
                <w:kern w:val="0"/>
                <w:sz w:val="24"/>
                <w14:textFill>
                  <w14:solidFill>
                    <w14:schemeClr w14:val="tx1"/>
                  </w14:solidFill>
                </w14:textFill>
              </w:rPr>
              <w:t>以上</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b w:val="0"/>
                <w:bCs w:val="0"/>
                <w:color w:val="000000" w:themeColor="text1"/>
                <w:kern w:val="0"/>
                <w:sz w:val="24"/>
                <w14:textFill>
                  <w14:solidFill>
                    <w14:schemeClr w14:val="tx1"/>
                  </w14:solidFill>
                </w14:textFill>
              </w:rPr>
              <w:t>10</w:t>
            </w:r>
            <w:r>
              <w:rPr>
                <w:rFonts w:hint="eastAsia" w:ascii="楷体" w:hAnsi="楷体" w:eastAsia="楷体" w:cs="楷体"/>
                <w:b w:val="0"/>
                <w:bCs w:val="0"/>
                <w:color w:val="000000" w:themeColor="text1"/>
                <w:kern w:val="0"/>
                <w:sz w:val="24"/>
                <w14:textFill>
                  <w14:solidFill>
                    <w14:schemeClr w14:val="tx1"/>
                  </w14:solidFill>
                </w14:textFill>
              </w:rPr>
              <w:t>以上</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16</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农村生活垃圾有效治理建制村覆盖率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100</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17</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建制镇污水处理设施覆盖率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100</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100</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18</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农村无害化卫生厕所普及率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60</w:t>
            </w:r>
            <w:r>
              <w:rPr>
                <w:rFonts w:hint="eastAsia" w:ascii="楷体" w:hAnsi="楷体" w:eastAsia="楷体" w:cs="楷体"/>
                <w:color w:val="000000" w:themeColor="text1"/>
                <w:kern w:val="0"/>
                <w:sz w:val="24"/>
                <w14:textFill>
                  <w14:solidFill>
                    <w14:schemeClr w14:val="tx1"/>
                  </w14:solidFill>
                </w14:textFill>
              </w:rPr>
              <w:t>以上</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25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lang w:val="en-US" w:eastAsia="zh-CN"/>
                <w14:textFill>
                  <w14:solidFill>
                    <w14:schemeClr w14:val="tx1"/>
                  </w14:solidFill>
                </w14:textFill>
              </w:rPr>
              <w:t>完成市定目标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4"/>
                <w14:textFill>
                  <w14:solidFill>
                    <w14:schemeClr w14:val="tx1"/>
                  </w14:solidFill>
                </w14:textFill>
              </w:rPr>
            </w:pP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themeColor="text1"/>
                <w:kern w:val="0"/>
                <w:sz w:val="24"/>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四、绿色发展</w:t>
            </w:r>
          </w:p>
        </w:tc>
        <w:tc>
          <w:tcPr>
            <w:tcW w:w="559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19</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单位地区生产总值能耗降低</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4</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lang w:val="en-US" w:eastAsia="zh-CN"/>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6.98</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20</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主要污染物排放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市定目标</w:t>
            </w:r>
          </w:p>
        </w:tc>
        <w:tc>
          <w:tcPr>
            <w:tcW w:w="25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lang w:eastAsia="zh-CN"/>
                <w14:textFill>
                  <w14:solidFill>
                    <w14:schemeClr w14:val="tx1"/>
                  </w14:solidFill>
                </w14:textFill>
              </w:rPr>
              <w:t>完成</w:t>
            </w:r>
            <w:r>
              <w:rPr>
                <w:rFonts w:hint="eastAsia" w:ascii="楷体" w:hAnsi="楷体" w:eastAsia="楷体" w:cs="楷体"/>
                <w:color w:val="000000" w:themeColor="text1"/>
                <w:kern w:val="0"/>
                <w:sz w:val="24"/>
                <w14:textFill>
                  <w14:solidFill>
                    <w14:schemeClr w14:val="tx1"/>
                  </w14:solidFill>
                </w14:textFill>
              </w:rPr>
              <w:t>市定目标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县城细颗粒物年均浓度</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稳步下降</w:t>
            </w:r>
          </w:p>
        </w:tc>
        <w:tc>
          <w:tcPr>
            <w:tcW w:w="25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楷体" w:hAnsi="楷体" w:eastAsia="楷体" w:cs="楷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PM</w:t>
            </w:r>
            <w:r>
              <w:rPr>
                <w:rFonts w:hint="eastAsia" w:ascii="Times New Roman" w:hAnsi="Times New Roman" w:eastAsia="方正仿宋简体"/>
                <w:b/>
                <w:bCs/>
                <w:color w:val="000000" w:themeColor="text1"/>
                <w:kern w:val="0"/>
                <w:sz w:val="24"/>
                <w:vertAlign w:val="subscript"/>
                <w:lang w:val="en-US" w:eastAsia="zh-CN"/>
                <w14:textFill>
                  <w14:solidFill>
                    <w14:schemeClr w14:val="tx1"/>
                  </w14:solidFill>
                </w14:textFill>
              </w:rPr>
              <w:t>2.5</w:t>
            </w:r>
            <w:r>
              <w:rPr>
                <w:rFonts w:hint="eastAsia" w:ascii="Times New Roman" w:hAnsi="Times New Roman" w:eastAsia="方正仿宋简体"/>
                <w:color w:val="000000" w:themeColor="text1"/>
                <w:kern w:val="0"/>
                <w:sz w:val="24"/>
                <w:lang w:val="en-US" w:eastAsia="zh-CN"/>
                <w14:textFill>
                  <w14:solidFill>
                    <w14:schemeClr w14:val="tx1"/>
                  </w14:solidFill>
                </w14:textFill>
              </w:rPr>
              <w:t>上升23.5%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4"/>
                <w14:textFill>
                  <w14:solidFill>
                    <w14:schemeClr w14:val="tx1"/>
                  </w14:solidFill>
                </w14:textFill>
              </w:rPr>
            </w:pP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themeColor="text1"/>
                <w:kern w:val="0"/>
                <w:sz w:val="28"/>
                <w:szCs w:val="28"/>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五、开放发展</w:t>
            </w:r>
          </w:p>
        </w:tc>
        <w:tc>
          <w:tcPr>
            <w:tcW w:w="559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22</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货物进出口总额</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亿元</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平稳增长</w:t>
            </w:r>
          </w:p>
        </w:tc>
        <w:tc>
          <w:tcPr>
            <w:tcW w:w="25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平稳增长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23</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营商环境评价排序</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位</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全市前列</w:t>
            </w:r>
          </w:p>
        </w:tc>
        <w:tc>
          <w:tcPr>
            <w:tcW w:w="25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楷体" w:hAnsi="楷体" w:eastAsia="楷体" w:cs="楷体"/>
                <w:color w:val="000000" w:themeColor="text1"/>
                <w:kern w:val="0"/>
                <w:sz w:val="24"/>
                <w:lang w:eastAsia="zh-CN"/>
                <w14:textFill>
                  <w14:solidFill>
                    <w14:schemeClr w14:val="tx1"/>
                  </w14:solidFill>
                </w14:textFill>
              </w:rPr>
            </w:pPr>
            <w:r>
              <w:rPr>
                <w:rFonts w:hint="eastAsia" w:ascii="楷体" w:hAnsi="楷体" w:eastAsia="楷体" w:cs="楷体"/>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color w:val="000000" w:themeColor="text1"/>
                <w:kern w:val="0"/>
                <w:sz w:val="24"/>
                <w14:textFill>
                  <w14:solidFill>
                    <w14:schemeClr w14:val="tx1"/>
                  </w14:solidFill>
                </w14:textFill>
              </w:rPr>
            </w:pP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color w:val="000000" w:themeColor="text1"/>
                <w:kern w:val="0"/>
                <w:sz w:val="24"/>
                <w14:textFill>
                  <w14:solidFill>
                    <w14:schemeClr w14:val="tx1"/>
                  </w14:solidFill>
                </w14:textFill>
              </w:rPr>
            </w:pPr>
            <w:r>
              <w:rPr>
                <w:rFonts w:hint="eastAsia" w:ascii="Times New Roman" w:hAnsi="Times New Roman" w:eastAsia="黑体"/>
                <w:color w:val="000000" w:themeColor="text1"/>
                <w:kern w:val="0"/>
                <w:sz w:val="24"/>
                <w14:textFill>
                  <w14:solidFill>
                    <w14:schemeClr w14:val="tx1"/>
                  </w14:solidFill>
                </w14:textFill>
              </w:rPr>
              <w:t>六、共享发展</w:t>
            </w:r>
          </w:p>
        </w:tc>
        <w:tc>
          <w:tcPr>
            <w:tcW w:w="559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24</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居民人均可支配收入</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元</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9</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20296</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25</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rPr>
                <w:color w:val="000000" w:themeColor="text1"/>
                <w:sz w:val="24"/>
                <w14:textFill>
                  <w14:solidFill>
                    <w14:schemeClr w14:val="tx1"/>
                  </w14:solidFill>
                </w14:textFill>
              </w:rPr>
            </w:pPr>
            <w:r>
              <w:rPr>
                <w:rFonts w:hint="eastAsia" w:ascii="楷体" w:hAnsi="楷体" w:eastAsia="楷体" w:cs="楷体"/>
                <w:color w:val="000000" w:themeColor="text1"/>
                <w:spacing w:val="-6"/>
                <w:kern w:val="0"/>
                <w:sz w:val="24"/>
                <w14:textFill>
                  <w14:solidFill>
                    <w14:schemeClr w14:val="tx1"/>
                  </w14:solidFill>
                </w14:textFill>
              </w:rPr>
              <w:t>城镇居民人均可支配收入</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元</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8</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30289</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26</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spacing w:val="-6"/>
                <w:kern w:val="0"/>
                <w:sz w:val="24"/>
                <w14:textFill>
                  <w14:solidFill>
                    <w14:schemeClr w14:val="tx1"/>
                  </w14:solidFill>
                </w14:textFill>
              </w:rPr>
              <w:t>农村居民人均可支配收入</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元</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9</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14576</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27</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城镇新增就业</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人</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6600</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简体"/>
                <w:color w:val="000000" w:themeColor="text1"/>
                <w:kern w:val="0"/>
                <w:sz w:val="24"/>
                <w:lang w:val="en-US" w:eastAsia="zh-CN"/>
                <w14:textFill>
                  <w14:solidFill>
                    <w14:schemeClr w14:val="tx1"/>
                  </w14:solidFill>
                </w14:textFill>
              </w:rPr>
            </w:pPr>
            <w:r>
              <w:rPr>
                <w:rFonts w:hint="eastAsia" w:ascii="Times New Roman" w:hAnsi="Times New Roman" w:eastAsia="方正仿宋简体"/>
                <w:color w:val="000000" w:themeColor="text1"/>
                <w:kern w:val="0"/>
                <w:sz w:val="24"/>
                <w:lang w:val="en-US" w:eastAsia="zh-CN"/>
                <w14:textFill>
                  <w14:solidFill>
                    <w14:schemeClr w14:val="tx1"/>
                  </w14:solidFill>
                </w14:textFill>
              </w:rPr>
              <w:t>13529</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28</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城镇登记失业率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r>
              <w:rPr>
                <w:rFonts w:ascii="Times New Roman" w:hAnsi="Times New Roman" w:eastAsia="楷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楷体"/>
                <w:color w:val="000000" w:themeColor="text1"/>
                <w:kern w:val="0"/>
                <w:sz w:val="24"/>
                <w14:textFill>
                  <w14:solidFill>
                    <w14:schemeClr w14:val="tx1"/>
                  </w14:solidFill>
                </w14:textFill>
              </w:rPr>
              <w:t>4</w:t>
            </w:r>
            <w:r>
              <w:rPr>
                <w:rFonts w:hint="eastAsia" w:ascii="Times New Roman" w:hAnsi="Times New Roman" w:eastAsia="楷体"/>
                <w:color w:val="000000" w:themeColor="text1"/>
                <w:kern w:val="0"/>
                <w:sz w:val="24"/>
                <w14:textFill>
                  <w14:solidFill>
                    <w14:schemeClr w14:val="tx1"/>
                  </w14:solidFill>
                </w14:textFill>
              </w:rPr>
              <w:t>以内</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楷体" w:hAnsi="楷体" w:eastAsia="楷体" w:cs="楷体"/>
                <w:color w:val="000000" w:themeColor="text1"/>
                <w:kern w:val="0"/>
                <w:sz w:val="24"/>
                <w:lang w:val="en-US" w:eastAsia="zh-CN"/>
                <w14:textFill>
                  <w14:solidFill>
                    <w14:schemeClr w14:val="tx1"/>
                  </w14:solidFill>
                </w14:textFill>
              </w:rPr>
            </w:pPr>
            <w:r>
              <w:rPr>
                <w:rFonts w:hint="eastAsia" w:ascii="Times New Roman" w:hAnsi="Times New Roman" w:eastAsia="楷体"/>
                <w:color w:val="000000" w:themeColor="text1"/>
                <w:kern w:val="0"/>
                <w:sz w:val="24"/>
                <w:lang w:val="en-US" w:eastAsia="zh-CN"/>
                <w14:textFill>
                  <w14:solidFill>
                    <w14:schemeClr w14:val="tx1"/>
                  </w14:solidFill>
                </w14:textFill>
              </w:rPr>
              <w:t>2.9</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29</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农村贫困发生率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楷体"/>
                <w:color w:val="000000" w:themeColor="text1"/>
                <w:kern w:val="0"/>
                <w:sz w:val="24"/>
                <w14:textFill>
                  <w14:solidFill>
                    <w14:schemeClr w14:val="tx1"/>
                  </w14:solidFill>
                </w14:textFill>
              </w:rPr>
            </w:pPr>
            <w:r>
              <w:rPr>
                <w:rFonts w:ascii="Times New Roman" w:hAnsi="Times New Roman" w:eastAsia="楷体"/>
                <w:color w:val="000000" w:themeColor="text1"/>
                <w:kern w:val="0"/>
                <w:sz w:val="24"/>
                <w14:textFill>
                  <w14:solidFill>
                    <w14:schemeClr w14:val="tx1"/>
                  </w14:solidFill>
                </w14:textFill>
              </w:rPr>
              <w:t>%</w:t>
            </w: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市定目标</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楷体" w:hAnsi="楷体" w:eastAsia="楷体" w:cs="楷体"/>
                <w:color w:val="000000" w:themeColor="text1"/>
                <w:kern w:val="0"/>
                <w:sz w:val="24"/>
                <w:lang w:val="en-US" w:eastAsia="zh-CN"/>
                <w14:textFill>
                  <w14:solidFill>
                    <w14:schemeClr w14:val="tx1"/>
                  </w14:solidFill>
                </w14:textFill>
              </w:rPr>
            </w:pPr>
            <w:r>
              <w:rPr>
                <w:rFonts w:hint="eastAsia" w:ascii="Times New Roman" w:hAnsi="Times New Roman" w:eastAsia="楷体"/>
                <w:color w:val="000000" w:themeColor="text1"/>
                <w:kern w:val="0"/>
                <w:sz w:val="24"/>
                <w:lang w:val="en-US" w:eastAsia="zh-CN"/>
                <w14:textFill>
                  <w14:solidFill>
                    <w14:schemeClr w14:val="tx1"/>
                  </w14:solidFill>
                </w14:textFill>
              </w:rPr>
              <w:t>0.44</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简体"/>
                <w:color w:val="000000" w:themeColor="text1"/>
                <w:kern w:val="0"/>
                <w:sz w:val="24"/>
                <w14:textFill>
                  <w14:solidFill>
                    <w14:schemeClr w14:val="tx1"/>
                  </w14:solidFill>
                </w14:textFill>
              </w:rPr>
            </w:pPr>
            <w:r>
              <w:rPr>
                <w:rFonts w:ascii="Times New Roman" w:hAnsi="Times New Roman" w:eastAsia="方正仿宋简体"/>
                <w:color w:val="000000" w:themeColor="text1"/>
                <w:kern w:val="0"/>
                <w:sz w:val="24"/>
                <w14:textFill>
                  <w14:solidFill>
                    <w14:schemeClr w14:val="tx1"/>
                  </w14:solidFill>
                </w14:textFill>
              </w:rPr>
              <w:t>—</w:t>
            </w:r>
          </w:p>
        </w:tc>
      </w:tr>
    </w:tbl>
    <w:p>
      <w:pPr>
        <w:rPr>
          <w:rFonts w:hint="default" w:eastAsia="宋体"/>
          <w:color w:val="000000" w:themeColor="text1"/>
          <w:lang w:val="en-US" w:eastAsia="zh-CN"/>
          <w14:textFill>
            <w14:solidFill>
              <w14:schemeClr w14:val="tx1"/>
            </w14:solidFill>
          </w14:textFill>
        </w:rPr>
      </w:pPr>
    </w:p>
    <w:bookmarkEnd w:id="0"/>
    <w:sectPr>
      <w:footerReference r:id="rId3" w:type="default"/>
      <w:pgSz w:w="11906" w:h="16838"/>
      <w:pgMar w:top="1701" w:right="1474"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altName w:val="楷体_GB2312"/>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-171450</wp:posOffset>
              </wp:positionV>
              <wp:extent cx="541020" cy="3175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1020" cy="3175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5pt;height:25pt;width:42.6pt;mso-position-horizontal:outside;mso-position-horizontal-relative:margin;z-index:251658240;mso-width-relative:page;mso-height-relative:page;" filled="f" stroked="f" coordsize="21600,21600" o:gfxdata="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VGOofWAAAABgEAAA8A&#10;AAAAAAAAAQAgAAAAIgAAAGRycy9kb3ducmV2LnhtbFBLAQIUABQAAAAIAIdO4kAYbSu9GQIAABME&#10;AAAOAAAAAAAAAAEAIAAAACUBAABkcnMvZTJvRG9jLnhtbFBLBQYAAAAABgAGAFkBAACwBQ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541CE"/>
    <w:rsid w:val="08862750"/>
    <w:rsid w:val="0D4759B1"/>
    <w:rsid w:val="12E764F9"/>
    <w:rsid w:val="23E35405"/>
    <w:rsid w:val="29E37C8C"/>
    <w:rsid w:val="33131DF4"/>
    <w:rsid w:val="434A7419"/>
    <w:rsid w:val="4B100A48"/>
    <w:rsid w:val="51B45B8B"/>
    <w:rsid w:val="5B7541CE"/>
    <w:rsid w:val="5EF57ACF"/>
    <w:rsid w:val="5F282A76"/>
    <w:rsid w:val="623F6D76"/>
    <w:rsid w:val="65144777"/>
    <w:rsid w:val="66160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qFormat/>
    <w:uiPriority w:val="0"/>
    <w:rPr>
      <w:rFonts w:ascii="Times New Roman" w:hAnsi="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2020-05-22T01:57:00Z</dcterms:created>
  <dc:creator>韩</dc:creator>
  <cp:lastModifiedBy>k</cp:lastModifiedBy>
  <cp:lastPrinted>2020-05-22T02:00:00Z</cp:lastPrinted>
  <dcterms:modified xsi:type="dcterms:W3CDTF">2020-11-12T02:42:33Z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